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07F85" w:rsidRPr="00A02906" w:rsidRDefault="00A02906" w:rsidP="00F66C7A">
            <w:pPr>
              <w:pStyle w:val="Title"/>
            </w:pPr>
            <w:r w:rsidRPr="00C83E05">
              <w:rPr>
                <w:rFonts w:asciiTheme="minorHAnsi" w:hAnsiTheme="minorHAnsi" w:cstheme="minorHAnsi"/>
                <w:noProof/>
                <w:szCs w:val="72"/>
                <w:lang w:eastAsia="en-AU"/>
              </w:rPr>
              <mc:AlternateContent>
                <mc:Choice Requires="wps">
                  <w:drawing>
                    <wp:anchor distT="0" distB="0" distL="114300" distR="114300" simplePos="0" relativeHeight="251659264" behindDoc="0" locked="0" layoutInCell="1" allowOverlap="1" wp14:anchorId="47A900B4" wp14:editId="398CC824">
                      <wp:simplePos x="0" y="0"/>
                      <wp:positionH relativeFrom="column">
                        <wp:posOffset>-63994</wp:posOffset>
                      </wp:positionH>
                      <wp:positionV relativeFrom="paragraph">
                        <wp:posOffset>1964055</wp:posOffset>
                      </wp:positionV>
                      <wp:extent cx="6524625" cy="428625"/>
                      <wp:effectExtent l="0" t="0" r="0" b="0"/>
                      <wp:wrapNone/>
                      <wp:docPr id="5" name="Text Box 5"/>
                      <wp:cNvGraphicFramePr/>
                      <a:graphic xmlns:a="http://schemas.openxmlformats.org/drawingml/2006/main">
                        <a:graphicData uri="http://schemas.microsoft.com/office/word/2010/wordprocessingShape">
                          <wps:wsp>
                            <wps:cNvSpPr txBox="1"/>
                            <wps:spPr>
                              <a:xfrm>
                                <a:off x="0" y="0"/>
                                <a:ext cx="65246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227A" w:rsidRPr="00F221DA" w:rsidRDefault="00E7227A">
                                  <w:pPr>
                                    <w:rPr>
                                      <w:color w:val="FFFFFF" w:themeColor="background1"/>
                                      <w:sz w:val="40"/>
                                      <w:szCs w:val="40"/>
                                    </w:rPr>
                                  </w:pPr>
                                  <w:r>
                                    <w:rPr>
                                      <w:color w:val="FFFFFF" w:themeColor="background1"/>
                                      <w:sz w:val="40"/>
                                      <w:szCs w:val="40"/>
                                    </w:rPr>
                                    <w:t xml:space="preserve">Melbourne Strategic Assessment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05pt;margin-top:154.65pt;width:513.75pt;height:33.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" filled="f" stroked="f" strokeweight=".5pt">
                      <v:textbox>
                        <w:txbxContent>
                          <w:p w:rsidR="00E7227A" w:rsidRPr="00F221DA" w:rsidRDefault="00E7227A">
                            <w:pPr>
                              <w:rPr>
                                <w:color w:val="FFFFFF" w:themeColor="background1"/>
                                <w:sz w:val="40"/>
                                <w:szCs w:val="40"/>
                              </w:rPr>
                            </w:pPr>
                            <w:r>
                              <w:rPr>
                                <w:color w:val="FFFFFF" w:themeColor="background1"/>
                                <w:sz w:val="40"/>
                                <w:szCs w:val="40"/>
                              </w:rPr>
                              <w:t xml:space="preserve">Melbourne Strategic Assessment  </w:t>
                            </w:r>
                          </w:p>
                        </w:txbxContent>
                      </v:textbox>
                    </v:shape>
                  </w:pict>
                </mc:Fallback>
              </mc:AlternateContent>
            </w:r>
            <w:r w:rsidR="00F66C7A" w:rsidRPr="00F66C7A">
              <w:t xml:space="preserve">Quality assessment metric for </w:t>
            </w:r>
            <w:r w:rsidR="00195779">
              <w:t>‘</w:t>
            </w:r>
            <w:r w:rsidR="00F66C7A" w:rsidRPr="00F66C7A">
              <w:t>Grassy Eucalypt Woodland of the Victorian Volcanic Plains</w:t>
            </w:r>
            <w:r w:rsidR="00195779">
              <w:t>’</w:t>
            </w:r>
            <w:bookmarkStart w:id="0" w:name="_GoBack"/>
            <w:bookmarkEnd w:id="0"/>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F66C7A" w:rsidP="00207A7C">
            <w:pPr>
              <w:pStyle w:val="CertHE"/>
              <w:tabs>
                <w:tab w:val="left" w:pos="459"/>
              </w:tabs>
            </w:pPr>
            <w:r>
              <w:rPr>
                <w:noProof/>
                <w:lang w:eastAsia="en-AU"/>
              </w:rPr>
              <w:drawing>
                <wp:inline distT="0" distB="0" distL="0" distR="0">
                  <wp:extent cx="6800215" cy="5100320"/>
                  <wp:effectExtent l="0" t="0" r="63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340.JPG"/>
                          <pic:cNvPicPr/>
                        </pic:nvPicPr>
                        <pic:blipFill>
                          <a:blip r:embed="rId9" cstate="print">
                            <a:extLst>
                              <a:ext uri="{BEBA8EAE-BF5A-486C-A8C5-ECC9F3942E4B}">
                                <a14:imgProps xmlns:a14="http://schemas.microsoft.com/office/drawing/2010/main">
                                  <a14:imgLayer r:embed="rId10">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6800215" cy="5100320"/>
                          </a:xfrm>
                          <a:prstGeom prst="rect">
                            <a:avLst/>
                          </a:prstGeom>
                        </pic:spPr>
                      </pic:pic>
                    </a:graphicData>
                  </a:graphic>
                </wp:inline>
              </w:drawing>
            </w:r>
          </w:p>
        </w:tc>
      </w:tr>
    </w:tbl>
    <w:p w:rsidR="00BB6A87" w:rsidRPr="00CF2728" w:rsidRDefault="00BB6A87" w:rsidP="00DC1725"/>
    <w:p w:rsidR="00BB6A87" w:rsidRDefault="00BB6A87" w:rsidP="00DC1725">
      <w:pPr>
        <w:sectPr w:rsidR="00BB6A87" w:rsidSect="0024007D">
          <w:headerReference w:type="default" r:id="rId11"/>
          <w:footerReference w:type="default" r:id="rId12"/>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24007D">
          <w:footerReference w:type="even" r:id="rId13"/>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7E2B7AD3" wp14:editId="6513DB0C">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4">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w:t>
            </w:r>
            <w:r w:rsidR="00F66C7A">
              <w:rPr>
                <w:rFonts w:asciiTheme="minorHAnsi" w:eastAsiaTheme="minorHAnsi" w:hAnsiTheme="minorHAnsi" w:cstheme="minorHAnsi"/>
                <w:sz w:val="16"/>
                <w:szCs w:val="16"/>
              </w:rPr>
              <w:t>t, Land, Water and Planning 2016</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1" w:name="_CreativeCommonsMarker"/>
            <w:bookmarkEnd w:id="1"/>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5" w:history="1">
              <w:r w:rsidRPr="00281AEE">
                <w:rPr>
                  <w:rFonts w:asciiTheme="minorHAnsi" w:eastAsia="Calibri" w:hAnsiTheme="minorHAnsi" w:cstheme="minorHAnsi"/>
                  <w:color w:val="0000FF"/>
                  <w:sz w:val="16"/>
                  <w:szCs w:val="16"/>
                  <w:u w:val="single"/>
                </w:rPr>
                <w:t>http://creativecommons.org/licenses/by/3.0/au/deed.en</w:t>
              </w:r>
            </w:hyperlink>
          </w:p>
          <w:p w:rsidR="00281AEE" w:rsidRPr="00BF0FE8"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BF0FE8">
              <w:rPr>
                <w:rFonts w:asciiTheme="minorHAnsi" w:eastAsiaTheme="minorHAnsi" w:hAnsiTheme="minorHAnsi" w:cstheme="minorHAnsi"/>
                <w:sz w:val="16"/>
                <w:szCs w:val="16"/>
              </w:rPr>
              <w:t xml:space="preserve">ISBN </w:t>
            </w:r>
            <w:r w:rsidR="00BF0FE8" w:rsidRPr="00BF0FE8">
              <w:rPr>
                <w:rFonts w:asciiTheme="minorHAnsi" w:eastAsiaTheme="minorHAnsi" w:hAnsiTheme="minorHAnsi" w:cstheme="minorHAnsi"/>
                <w:sz w:val="16"/>
                <w:szCs w:val="16"/>
              </w:rPr>
              <w:t>978-1-74146-791-8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6" w:history="1">
              <w:r w:rsidRPr="00281AEE">
                <w:rPr>
                  <w:rFonts w:asciiTheme="minorHAnsi" w:eastAsia="Calibri" w:hAnsiTheme="minorHAnsi" w:cstheme="minorHAnsi"/>
                  <w:color w:val="0000FF"/>
                  <w:sz w:val="16"/>
                  <w:szCs w:val="16"/>
                  <w:u w:val="single"/>
                </w:rPr>
                <w:t>customer.service@delwp.vic.gov.au</w:t>
              </w:r>
            </w:hyperlink>
            <w:r w:rsidR="00BF0FE8" w:rsidRPr="00BF0FE8">
              <w:rPr>
                <w:rFonts w:asciiTheme="minorHAnsi" w:eastAsia="Calibri" w:hAnsiTheme="minorHAnsi" w:cstheme="minorHAnsi"/>
                <w:sz w:val="16"/>
                <w:szCs w:val="16"/>
              </w:rPr>
              <w:t xml:space="preserve">, </w:t>
            </w:r>
            <w:r w:rsidRPr="00BF0FE8">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 xml:space="preserve">via the National Relay Service on 133 677  </w:t>
            </w:r>
            <w:hyperlink r:id="rId17"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8"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24007D">
          <w:headerReference w:type="default" r:id="rId19"/>
          <w:footerReference w:type="default" r:id="rId20"/>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5850A3"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43044135" w:history="1">
        <w:r w:rsidR="005850A3" w:rsidRPr="006C3202">
          <w:rPr>
            <w:rStyle w:val="Hyperlink"/>
          </w:rPr>
          <w:t>Terms and abbreviations</w:t>
        </w:r>
        <w:r w:rsidR="005850A3">
          <w:rPr>
            <w:webHidden/>
          </w:rPr>
          <w:tab/>
        </w:r>
        <w:r w:rsidR="005850A3">
          <w:rPr>
            <w:webHidden/>
          </w:rPr>
          <w:fldChar w:fldCharType="begin"/>
        </w:r>
        <w:r w:rsidR="005850A3">
          <w:rPr>
            <w:webHidden/>
          </w:rPr>
          <w:instrText xml:space="preserve"> PAGEREF _Toc443044135 \h </w:instrText>
        </w:r>
        <w:r w:rsidR="005850A3">
          <w:rPr>
            <w:webHidden/>
          </w:rPr>
        </w:r>
        <w:r w:rsidR="005850A3">
          <w:rPr>
            <w:webHidden/>
          </w:rPr>
          <w:fldChar w:fldCharType="separate"/>
        </w:r>
        <w:r w:rsidR="00195779">
          <w:rPr>
            <w:webHidden/>
          </w:rPr>
          <w:t>2</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36" w:history="1">
        <w:r w:rsidR="005850A3" w:rsidRPr="006C3202">
          <w:rPr>
            <w:rStyle w:val="Hyperlink"/>
          </w:rPr>
          <w:t>Introduction</w:t>
        </w:r>
        <w:r w:rsidR="005850A3">
          <w:rPr>
            <w:webHidden/>
          </w:rPr>
          <w:tab/>
        </w:r>
        <w:r w:rsidR="005850A3">
          <w:rPr>
            <w:webHidden/>
          </w:rPr>
          <w:fldChar w:fldCharType="begin"/>
        </w:r>
        <w:r w:rsidR="005850A3">
          <w:rPr>
            <w:webHidden/>
          </w:rPr>
          <w:instrText xml:space="preserve"> PAGEREF _Toc443044136 \h </w:instrText>
        </w:r>
        <w:r w:rsidR="005850A3">
          <w:rPr>
            <w:webHidden/>
          </w:rPr>
        </w:r>
        <w:r w:rsidR="005850A3">
          <w:rPr>
            <w:webHidden/>
          </w:rPr>
          <w:fldChar w:fldCharType="separate"/>
        </w:r>
        <w:r w:rsidR="00195779">
          <w:rPr>
            <w:webHidden/>
          </w:rPr>
          <w:t>3</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37" w:history="1">
        <w:r w:rsidR="005850A3" w:rsidRPr="006C3202">
          <w:rPr>
            <w:rStyle w:val="Hyperlink"/>
          </w:rPr>
          <w:t>Background</w:t>
        </w:r>
        <w:r w:rsidR="005850A3">
          <w:rPr>
            <w:webHidden/>
          </w:rPr>
          <w:tab/>
        </w:r>
        <w:r w:rsidR="005850A3">
          <w:rPr>
            <w:webHidden/>
          </w:rPr>
          <w:fldChar w:fldCharType="begin"/>
        </w:r>
        <w:r w:rsidR="005850A3">
          <w:rPr>
            <w:webHidden/>
          </w:rPr>
          <w:instrText xml:space="preserve"> PAGEREF _Toc443044137 \h </w:instrText>
        </w:r>
        <w:r w:rsidR="005850A3">
          <w:rPr>
            <w:webHidden/>
          </w:rPr>
        </w:r>
        <w:r w:rsidR="005850A3">
          <w:rPr>
            <w:webHidden/>
          </w:rPr>
          <w:fldChar w:fldCharType="separate"/>
        </w:r>
        <w:r w:rsidR="00195779">
          <w:rPr>
            <w:webHidden/>
          </w:rPr>
          <w:t>3</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38" w:history="1">
        <w:r w:rsidR="005850A3" w:rsidRPr="006C3202">
          <w:rPr>
            <w:rStyle w:val="Hyperlink"/>
          </w:rPr>
          <w:t>Approach to defining quality</w:t>
        </w:r>
        <w:r w:rsidR="005850A3">
          <w:rPr>
            <w:webHidden/>
          </w:rPr>
          <w:tab/>
        </w:r>
        <w:r w:rsidR="005850A3">
          <w:rPr>
            <w:webHidden/>
          </w:rPr>
          <w:fldChar w:fldCharType="begin"/>
        </w:r>
        <w:r w:rsidR="005850A3">
          <w:rPr>
            <w:webHidden/>
          </w:rPr>
          <w:instrText xml:space="preserve"> PAGEREF _Toc443044138 \h </w:instrText>
        </w:r>
        <w:r w:rsidR="005850A3">
          <w:rPr>
            <w:webHidden/>
          </w:rPr>
        </w:r>
        <w:r w:rsidR="005850A3">
          <w:rPr>
            <w:webHidden/>
          </w:rPr>
          <w:fldChar w:fldCharType="separate"/>
        </w:r>
        <w:r w:rsidR="00195779">
          <w:rPr>
            <w:webHidden/>
          </w:rPr>
          <w:t>3</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39" w:history="1">
        <w:r w:rsidR="005850A3" w:rsidRPr="006C3202">
          <w:rPr>
            <w:rStyle w:val="Hyperlink"/>
          </w:rPr>
          <w:t>Description of the vegetation of the ecological community</w:t>
        </w:r>
        <w:r w:rsidR="005850A3">
          <w:rPr>
            <w:webHidden/>
          </w:rPr>
          <w:tab/>
        </w:r>
        <w:r w:rsidR="005850A3">
          <w:rPr>
            <w:webHidden/>
          </w:rPr>
          <w:fldChar w:fldCharType="begin"/>
        </w:r>
        <w:r w:rsidR="005850A3">
          <w:rPr>
            <w:webHidden/>
          </w:rPr>
          <w:instrText xml:space="preserve"> PAGEREF _Toc443044139 \h </w:instrText>
        </w:r>
        <w:r w:rsidR="005850A3">
          <w:rPr>
            <w:webHidden/>
          </w:rPr>
        </w:r>
        <w:r w:rsidR="005850A3">
          <w:rPr>
            <w:webHidden/>
          </w:rPr>
          <w:fldChar w:fldCharType="separate"/>
        </w:r>
        <w:r w:rsidR="00195779">
          <w:rPr>
            <w:webHidden/>
          </w:rPr>
          <w:t>4</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0" w:history="1">
        <w:r w:rsidR="005850A3" w:rsidRPr="006C3202">
          <w:rPr>
            <w:rStyle w:val="Hyperlink"/>
          </w:rPr>
          <w:t>Key Performance Indicators for GEW</w:t>
        </w:r>
        <w:r w:rsidR="005850A3">
          <w:rPr>
            <w:webHidden/>
          </w:rPr>
          <w:tab/>
        </w:r>
        <w:r w:rsidR="005850A3">
          <w:rPr>
            <w:webHidden/>
          </w:rPr>
          <w:fldChar w:fldCharType="begin"/>
        </w:r>
        <w:r w:rsidR="005850A3">
          <w:rPr>
            <w:webHidden/>
          </w:rPr>
          <w:instrText xml:space="preserve"> PAGEREF _Toc443044140 \h </w:instrText>
        </w:r>
        <w:r w:rsidR="005850A3">
          <w:rPr>
            <w:webHidden/>
          </w:rPr>
        </w:r>
        <w:r w:rsidR="005850A3">
          <w:rPr>
            <w:webHidden/>
          </w:rPr>
          <w:fldChar w:fldCharType="separate"/>
        </w:r>
        <w:r w:rsidR="00195779">
          <w:rPr>
            <w:webHidden/>
          </w:rPr>
          <w:t>7</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41" w:history="1">
        <w:r w:rsidR="005850A3" w:rsidRPr="006C3202">
          <w:rPr>
            <w:rStyle w:val="Hyperlink"/>
          </w:rPr>
          <w:t>Methods</w:t>
        </w:r>
        <w:r w:rsidR="005850A3">
          <w:rPr>
            <w:webHidden/>
          </w:rPr>
          <w:tab/>
        </w:r>
        <w:r w:rsidR="005850A3">
          <w:rPr>
            <w:webHidden/>
          </w:rPr>
          <w:fldChar w:fldCharType="begin"/>
        </w:r>
        <w:r w:rsidR="005850A3">
          <w:rPr>
            <w:webHidden/>
          </w:rPr>
          <w:instrText xml:space="preserve"> PAGEREF _Toc443044141 \h </w:instrText>
        </w:r>
        <w:r w:rsidR="005850A3">
          <w:rPr>
            <w:webHidden/>
          </w:rPr>
        </w:r>
        <w:r w:rsidR="005850A3">
          <w:rPr>
            <w:webHidden/>
          </w:rPr>
          <w:fldChar w:fldCharType="separate"/>
        </w:r>
        <w:r w:rsidR="00195779">
          <w:rPr>
            <w:webHidden/>
          </w:rPr>
          <w:t>8</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2" w:history="1">
        <w:r w:rsidR="005850A3" w:rsidRPr="006C3202">
          <w:rPr>
            <w:rStyle w:val="Hyperlink"/>
          </w:rPr>
          <w:t>Selection of variables</w:t>
        </w:r>
        <w:r w:rsidR="005850A3">
          <w:rPr>
            <w:webHidden/>
          </w:rPr>
          <w:tab/>
        </w:r>
        <w:r w:rsidR="005850A3">
          <w:rPr>
            <w:webHidden/>
          </w:rPr>
          <w:fldChar w:fldCharType="begin"/>
        </w:r>
        <w:r w:rsidR="005850A3">
          <w:rPr>
            <w:webHidden/>
          </w:rPr>
          <w:instrText xml:space="preserve"> PAGEREF _Toc443044142 \h </w:instrText>
        </w:r>
        <w:r w:rsidR="005850A3">
          <w:rPr>
            <w:webHidden/>
          </w:rPr>
        </w:r>
        <w:r w:rsidR="005850A3">
          <w:rPr>
            <w:webHidden/>
          </w:rPr>
          <w:fldChar w:fldCharType="separate"/>
        </w:r>
        <w:r w:rsidR="00195779">
          <w:rPr>
            <w:webHidden/>
          </w:rPr>
          <w:t>8</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3" w:history="1">
        <w:r w:rsidR="005850A3" w:rsidRPr="006C3202">
          <w:rPr>
            <w:rStyle w:val="Hyperlink"/>
          </w:rPr>
          <w:t>Creation of synthetic sites</w:t>
        </w:r>
        <w:r w:rsidR="005850A3">
          <w:rPr>
            <w:webHidden/>
          </w:rPr>
          <w:tab/>
        </w:r>
        <w:r w:rsidR="005850A3">
          <w:rPr>
            <w:webHidden/>
          </w:rPr>
          <w:fldChar w:fldCharType="begin"/>
        </w:r>
        <w:r w:rsidR="005850A3">
          <w:rPr>
            <w:webHidden/>
          </w:rPr>
          <w:instrText xml:space="preserve"> PAGEREF _Toc443044143 \h </w:instrText>
        </w:r>
        <w:r w:rsidR="005850A3">
          <w:rPr>
            <w:webHidden/>
          </w:rPr>
        </w:r>
        <w:r w:rsidR="005850A3">
          <w:rPr>
            <w:webHidden/>
          </w:rPr>
          <w:fldChar w:fldCharType="separate"/>
        </w:r>
        <w:r w:rsidR="00195779">
          <w:rPr>
            <w:webHidden/>
          </w:rPr>
          <w:t>8</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4" w:history="1">
        <w:r w:rsidR="005850A3" w:rsidRPr="006C3202">
          <w:rPr>
            <w:rStyle w:val="Hyperlink"/>
          </w:rPr>
          <w:t>Selection of participants</w:t>
        </w:r>
        <w:r w:rsidR="005850A3">
          <w:rPr>
            <w:webHidden/>
          </w:rPr>
          <w:tab/>
        </w:r>
        <w:r w:rsidR="005850A3">
          <w:rPr>
            <w:webHidden/>
          </w:rPr>
          <w:fldChar w:fldCharType="begin"/>
        </w:r>
        <w:r w:rsidR="005850A3">
          <w:rPr>
            <w:webHidden/>
          </w:rPr>
          <w:instrText xml:space="preserve"> PAGEREF _Toc443044144 \h </w:instrText>
        </w:r>
        <w:r w:rsidR="005850A3">
          <w:rPr>
            <w:webHidden/>
          </w:rPr>
        </w:r>
        <w:r w:rsidR="005850A3">
          <w:rPr>
            <w:webHidden/>
          </w:rPr>
          <w:fldChar w:fldCharType="separate"/>
        </w:r>
        <w:r w:rsidR="00195779">
          <w:rPr>
            <w:webHidden/>
          </w:rPr>
          <w:t>9</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5" w:history="1">
        <w:r w:rsidR="005850A3" w:rsidRPr="006C3202">
          <w:rPr>
            <w:rStyle w:val="Hyperlink"/>
          </w:rPr>
          <w:t>Expert data elicitation</w:t>
        </w:r>
        <w:r w:rsidR="005850A3">
          <w:rPr>
            <w:webHidden/>
          </w:rPr>
          <w:tab/>
        </w:r>
        <w:r w:rsidR="005850A3">
          <w:rPr>
            <w:webHidden/>
          </w:rPr>
          <w:fldChar w:fldCharType="begin"/>
        </w:r>
        <w:r w:rsidR="005850A3">
          <w:rPr>
            <w:webHidden/>
          </w:rPr>
          <w:instrText xml:space="preserve"> PAGEREF _Toc443044145 \h </w:instrText>
        </w:r>
        <w:r w:rsidR="005850A3">
          <w:rPr>
            <w:webHidden/>
          </w:rPr>
        </w:r>
        <w:r w:rsidR="005850A3">
          <w:rPr>
            <w:webHidden/>
          </w:rPr>
          <w:fldChar w:fldCharType="separate"/>
        </w:r>
        <w:r w:rsidR="00195779">
          <w:rPr>
            <w:webHidden/>
          </w:rPr>
          <w:t>10</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6" w:history="1">
        <w:r w:rsidR="005850A3" w:rsidRPr="006C3202">
          <w:rPr>
            <w:rStyle w:val="Hyperlink"/>
          </w:rPr>
          <w:t>Test and training data</w:t>
        </w:r>
        <w:r w:rsidR="005850A3">
          <w:rPr>
            <w:webHidden/>
          </w:rPr>
          <w:tab/>
        </w:r>
        <w:r w:rsidR="005850A3">
          <w:rPr>
            <w:webHidden/>
          </w:rPr>
          <w:fldChar w:fldCharType="begin"/>
        </w:r>
        <w:r w:rsidR="005850A3">
          <w:rPr>
            <w:webHidden/>
          </w:rPr>
          <w:instrText xml:space="preserve"> PAGEREF _Toc443044146 \h </w:instrText>
        </w:r>
        <w:r w:rsidR="005850A3">
          <w:rPr>
            <w:webHidden/>
          </w:rPr>
        </w:r>
        <w:r w:rsidR="005850A3">
          <w:rPr>
            <w:webHidden/>
          </w:rPr>
          <w:fldChar w:fldCharType="separate"/>
        </w:r>
        <w:r w:rsidR="00195779">
          <w:rPr>
            <w:webHidden/>
          </w:rPr>
          <w:t>11</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7" w:history="1">
        <w:r w:rsidR="005850A3" w:rsidRPr="006C3202">
          <w:rPr>
            <w:rStyle w:val="Hyperlink"/>
          </w:rPr>
          <w:t>Modelling</w:t>
        </w:r>
        <w:r w:rsidR="005850A3">
          <w:rPr>
            <w:webHidden/>
          </w:rPr>
          <w:tab/>
        </w:r>
        <w:r w:rsidR="005850A3">
          <w:rPr>
            <w:webHidden/>
          </w:rPr>
          <w:fldChar w:fldCharType="begin"/>
        </w:r>
        <w:r w:rsidR="005850A3">
          <w:rPr>
            <w:webHidden/>
          </w:rPr>
          <w:instrText xml:space="preserve"> PAGEREF _Toc443044147 \h </w:instrText>
        </w:r>
        <w:r w:rsidR="005850A3">
          <w:rPr>
            <w:webHidden/>
          </w:rPr>
        </w:r>
        <w:r w:rsidR="005850A3">
          <w:rPr>
            <w:webHidden/>
          </w:rPr>
          <w:fldChar w:fldCharType="separate"/>
        </w:r>
        <w:r w:rsidR="00195779">
          <w:rPr>
            <w:webHidden/>
          </w:rPr>
          <w:t>12</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48" w:history="1">
        <w:r w:rsidR="005850A3" w:rsidRPr="006C3202">
          <w:rPr>
            <w:rStyle w:val="Hyperlink"/>
          </w:rPr>
          <w:t>Testing whether sufficient stakeholder consultation was used</w:t>
        </w:r>
        <w:r w:rsidR="005850A3">
          <w:rPr>
            <w:webHidden/>
          </w:rPr>
          <w:tab/>
        </w:r>
        <w:r w:rsidR="005850A3">
          <w:rPr>
            <w:webHidden/>
          </w:rPr>
          <w:fldChar w:fldCharType="begin"/>
        </w:r>
        <w:r w:rsidR="005850A3">
          <w:rPr>
            <w:webHidden/>
          </w:rPr>
          <w:instrText xml:space="preserve"> PAGEREF _Toc443044148 \h </w:instrText>
        </w:r>
        <w:r w:rsidR="005850A3">
          <w:rPr>
            <w:webHidden/>
          </w:rPr>
        </w:r>
        <w:r w:rsidR="005850A3">
          <w:rPr>
            <w:webHidden/>
          </w:rPr>
          <w:fldChar w:fldCharType="separate"/>
        </w:r>
        <w:r w:rsidR="00195779">
          <w:rPr>
            <w:webHidden/>
          </w:rPr>
          <w:t>12</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49" w:history="1">
        <w:r w:rsidR="005850A3" w:rsidRPr="006C3202">
          <w:rPr>
            <w:rStyle w:val="Hyperlink"/>
          </w:rPr>
          <w:t>Results</w:t>
        </w:r>
        <w:r w:rsidR="005850A3">
          <w:rPr>
            <w:webHidden/>
          </w:rPr>
          <w:tab/>
        </w:r>
        <w:r w:rsidR="005850A3">
          <w:rPr>
            <w:webHidden/>
          </w:rPr>
          <w:fldChar w:fldCharType="begin"/>
        </w:r>
        <w:r w:rsidR="005850A3">
          <w:rPr>
            <w:webHidden/>
          </w:rPr>
          <w:instrText xml:space="preserve"> PAGEREF _Toc443044149 \h </w:instrText>
        </w:r>
        <w:r w:rsidR="005850A3">
          <w:rPr>
            <w:webHidden/>
          </w:rPr>
        </w:r>
        <w:r w:rsidR="005850A3">
          <w:rPr>
            <w:webHidden/>
          </w:rPr>
          <w:fldChar w:fldCharType="separate"/>
        </w:r>
        <w:r w:rsidR="00195779">
          <w:rPr>
            <w:webHidden/>
          </w:rPr>
          <w:t>13</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50" w:history="1">
        <w:r w:rsidR="005850A3" w:rsidRPr="006C3202">
          <w:rPr>
            <w:rStyle w:val="Hyperlink"/>
          </w:rPr>
          <w:t>Describing the stakeholder group represented in the model</w:t>
        </w:r>
        <w:r w:rsidR="005850A3">
          <w:rPr>
            <w:webHidden/>
          </w:rPr>
          <w:tab/>
        </w:r>
        <w:r w:rsidR="005850A3">
          <w:rPr>
            <w:webHidden/>
          </w:rPr>
          <w:fldChar w:fldCharType="begin"/>
        </w:r>
        <w:r w:rsidR="005850A3">
          <w:rPr>
            <w:webHidden/>
          </w:rPr>
          <w:instrText xml:space="preserve"> PAGEREF _Toc443044150 \h </w:instrText>
        </w:r>
        <w:r w:rsidR="005850A3">
          <w:rPr>
            <w:webHidden/>
          </w:rPr>
        </w:r>
        <w:r w:rsidR="005850A3">
          <w:rPr>
            <w:webHidden/>
          </w:rPr>
          <w:fldChar w:fldCharType="separate"/>
        </w:r>
        <w:r w:rsidR="00195779">
          <w:rPr>
            <w:webHidden/>
          </w:rPr>
          <w:t>13</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51" w:history="1">
        <w:r w:rsidR="005850A3" w:rsidRPr="006C3202">
          <w:rPr>
            <w:rStyle w:val="Hyperlink"/>
          </w:rPr>
          <w:t>Calibration and divergence of opinion</w:t>
        </w:r>
        <w:r w:rsidR="005850A3">
          <w:rPr>
            <w:webHidden/>
          </w:rPr>
          <w:tab/>
        </w:r>
        <w:r w:rsidR="005850A3">
          <w:rPr>
            <w:webHidden/>
          </w:rPr>
          <w:fldChar w:fldCharType="begin"/>
        </w:r>
        <w:r w:rsidR="005850A3">
          <w:rPr>
            <w:webHidden/>
          </w:rPr>
          <w:instrText xml:space="preserve"> PAGEREF _Toc443044151 \h </w:instrText>
        </w:r>
        <w:r w:rsidR="005850A3">
          <w:rPr>
            <w:webHidden/>
          </w:rPr>
        </w:r>
        <w:r w:rsidR="005850A3">
          <w:rPr>
            <w:webHidden/>
          </w:rPr>
          <w:fldChar w:fldCharType="separate"/>
        </w:r>
        <w:r w:rsidR="00195779">
          <w:rPr>
            <w:webHidden/>
          </w:rPr>
          <w:t>14</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52" w:history="1">
        <w:r w:rsidR="005850A3" w:rsidRPr="006C3202">
          <w:rPr>
            <w:rStyle w:val="Hyperlink"/>
          </w:rPr>
          <w:t>Modelling site quality</w:t>
        </w:r>
        <w:r w:rsidR="005850A3">
          <w:rPr>
            <w:webHidden/>
          </w:rPr>
          <w:tab/>
        </w:r>
        <w:r w:rsidR="005850A3">
          <w:rPr>
            <w:webHidden/>
          </w:rPr>
          <w:fldChar w:fldCharType="begin"/>
        </w:r>
        <w:r w:rsidR="005850A3">
          <w:rPr>
            <w:webHidden/>
          </w:rPr>
          <w:instrText xml:space="preserve"> PAGEREF _Toc443044152 \h </w:instrText>
        </w:r>
        <w:r w:rsidR="005850A3">
          <w:rPr>
            <w:webHidden/>
          </w:rPr>
        </w:r>
        <w:r w:rsidR="005850A3">
          <w:rPr>
            <w:webHidden/>
          </w:rPr>
          <w:fldChar w:fldCharType="separate"/>
        </w:r>
        <w:r w:rsidR="00195779">
          <w:rPr>
            <w:webHidden/>
          </w:rPr>
          <w:t>14</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53" w:history="1">
        <w:r w:rsidR="005850A3" w:rsidRPr="006C3202">
          <w:rPr>
            <w:rStyle w:val="Hyperlink"/>
          </w:rPr>
          <w:t>Expert sample size</w:t>
        </w:r>
        <w:r w:rsidR="005850A3">
          <w:rPr>
            <w:webHidden/>
          </w:rPr>
          <w:tab/>
        </w:r>
        <w:r w:rsidR="005850A3">
          <w:rPr>
            <w:webHidden/>
          </w:rPr>
          <w:fldChar w:fldCharType="begin"/>
        </w:r>
        <w:r w:rsidR="005850A3">
          <w:rPr>
            <w:webHidden/>
          </w:rPr>
          <w:instrText xml:space="preserve"> PAGEREF _Toc443044153 \h </w:instrText>
        </w:r>
        <w:r w:rsidR="005850A3">
          <w:rPr>
            <w:webHidden/>
          </w:rPr>
        </w:r>
        <w:r w:rsidR="005850A3">
          <w:rPr>
            <w:webHidden/>
          </w:rPr>
          <w:fldChar w:fldCharType="separate"/>
        </w:r>
        <w:r w:rsidR="00195779">
          <w:rPr>
            <w:webHidden/>
          </w:rPr>
          <w:t>16</w:t>
        </w:r>
        <w:r w:rsidR="005850A3">
          <w:rPr>
            <w:webHidden/>
          </w:rPr>
          <w:fldChar w:fldCharType="end"/>
        </w:r>
      </w:hyperlink>
    </w:p>
    <w:p w:rsidR="005850A3" w:rsidRDefault="00E7227A">
      <w:pPr>
        <w:pStyle w:val="TOC2"/>
        <w:rPr>
          <w:rFonts w:asciiTheme="minorHAnsi" w:eastAsiaTheme="minorEastAsia" w:hAnsiTheme="minorHAnsi" w:cstheme="minorBidi"/>
          <w:szCs w:val="22"/>
          <w:lang w:eastAsia="en-AU"/>
        </w:rPr>
      </w:pPr>
      <w:hyperlink w:anchor="_Toc443044154" w:history="1">
        <w:r w:rsidR="005850A3" w:rsidRPr="006C3202">
          <w:rPr>
            <w:rStyle w:val="Hyperlink"/>
          </w:rPr>
          <w:t>Implementation of the model in a spreadsheet</w:t>
        </w:r>
        <w:r w:rsidR="005850A3">
          <w:rPr>
            <w:webHidden/>
          </w:rPr>
          <w:tab/>
        </w:r>
        <w:r w:rsidR="005850A3">
          <w:rPr>
            <w:webHidden/>
          </w:rPr>
          <w:fldChar w:fldCharType="begin"/>
        </w:r>
        <w:r w:rsidR="005850A3">
          <w:rPr>
            <w:webHidden/>
          </w:rPr>
          <w:instrText xml:space="preserve"> PAGEREF _Toc443044154 \h </w:instrText>
        </w:r>
        <w:r w:rsidR="005850A3">
          <w:rPr>
            <w:webHidden/>
          </w:rPr>
        </w:r>
        <w:r w:rsidR="005850A3">
          <w:rPr>
            <w:webHidden/>
          </w:rPr>
          <w:fldChar w:fldCharType="separate"/>
        </w:r>
        <w:r w:rsidR="00195779">
          <w:rPr>
            <w:webHidden/>
          </w:rPr>
          <w:t>17</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55" w:history="1">
        <w:r w:rsidR="005850A3" w:rsidRPr="006C3202">
          <w:rPr>
            <w:rStyle w:val="Hyperlink"/>
          </w:rPr>
          <w:t>Discussion</w:t>
        </w:r>
        <w:r w:rsidR="005850A3">
          <w:rPr>
            <w:webHidden/>
          </w:rPr>
          <w:tab/>
        </w:r>
        <w:r w:rsidR="005850A3">
          <w:rPr>
            <w:webHidden/>
          </w:rPr>
          <w:fldChar w:fldCharType="begin"/>
        </w:r>
        <w:r w:rsidR="005850A3">
          <w:rPr>
            <w:webHidden/>
          </w:rPr>
          <w:instrText xml:space="preserve"> PAGEREF _Toc443044155 \h </w:instrText>
        </w:r>
        <w:r w:rsidR="005850A3">
          <w:rPr>
            <w:webHidden/>
          </w:rPr>
        </w:r>
        <w:r w:rsidR="005850A3">
          <w:rPr>
            <w:webHidden/>
          </w:rPr>
          <w:fldChar w:fldCharType="separate"/>
        </w:r>
        <w:r w:rsidR="00195779">
          <w:rPr>
            <w:webHidden/>
          </w:rPr>
          <w:t>18</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56" w:history="1">
        <w:r w:rsidR="005850A3" w:rsidRPr="006C3202">
          <w:rPr>
            <w:rStyle w:val="Hyperlink"/>
          </w:rPr>
          <w:t>References</w:t>
        </w:r>
        <w:r w:rsidR="005850A3">
          <w:rPr>
            <w:webHidden/>
          </w:rPr>
          <w:tab/>
        </w:r>
        <w:r w:rsidR="005850A3">
          <w:rPr>
            <w:webHidden/>
          </w:rPr>
          <w:fldChar w:fldCharType="begin"/>
        </w:r>
        <w:r w:rsidR="005850A3">
          <w:rPr>
            <w:webHidden/>
          </w:rPr>
          <w:instrText xml:space="preserve"> PAGEREF _Toc443044156 \h </w:instrText>
        </w:r>
        <w:r w:rsidR="005850A3">
          <w:rPr>
            <w:webHidden/>
          </w:rPr>
        </w:r>
        <w:r w:rsidR="005850A3">
          <w:rPr>
            <w:webHidden/>
          </w:rPr>
          <w:fldChar w:fldCharType="separate"/>
        </w:r>
        <w:r w:rsidR="00195779">
          <w:rPr>
            <w:webHidden/>
          </w:rPr>
          <w:t>19</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57" w:history="1">
        <w:r w:rsidR="005850A3" w:rsidRPr="006C3202">
          <w:rPr>
            <w:rStyle w:val="Hyperlink"/>
          </w:rPr>
          <w:t>Appendix 1: Elicitation instructions</w:t>
        </w:r>
        <w:r w:rsidR="005850A3">
          <w:rPr>
            <w:webHidden/>
          </w:rPr>
          <w:tab/>
        </w:r>
        <w:r w:rsidR="005850A3">
          <w:rPr>
            <w:webHidden/>
          </w:rPr>
          <w:fldChar w:fldCharType="begin"/>
        </w:r>
        <w:r w:rsidR="005850A3">
          <w:rPr>
            <w:webHidden/>
          </w:rPr>
          <w:instrText xml:space="preserve"> PAGEREF _Toc443044157 \h </w:instrText>
        </w:r>
        <w:r w:rsidR="005850A3">
          <w:rPr>
            <w:webHidden/>
          </w:rPr>
        </w:r>
        <w:r w:rsidR="005850A3">
          <w:rPr>
            <w:webHidden/>
          </w:rPr>
          <w:fldChar w:fldCharType="separate"/>
        </w:r>
        <w:r w:rsidR="00195779">
          <w:rPr>
            <w:webHidden/>
          </w:rPr>
          <w:t>22</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58" w:history="1">
        <w:r w:rsidR="005850A3" w:rsidRPr="006C3202">
          <w:rPr>
            <w:rStyle w:val="Hyperlink"/>
          </w:rPr>
          <w:t>Appendix 2: Comparison with random opinion set</w:t>
        </w:r>
        <w:r w:rsidR="005850A3">
          <w:rPr>
            <w:webHidden/>
          </w:rPr>
          <w:tab/>
        </w:r>
        <w:r w:rsidR="005850A3">
          <w:rPr>
            <w:webHidden/>
          </w:rPr>
          <w:fldChar w:fldCharType="begin"/>
        </w:r>
        <w:r w:rsidR="005850A3">
          <w:rPr>
            <w:webHidden/>
          </w:rPr>
          <w:instrText xml:space="preserve"> PAGEREF _Toc443044158 \h </w:instrText>
        </w:r>
        <w:r w:rsidR="005850A3">
          <w:rPr>
            <w:webHidden/>
          </w:rPr>
        </w:r>
        <w:r w:rsidR="005850A3">
          <w:rPr>
            <w:webHidden/>
          </w:rPr>
          <w:fldChar w:fldCharType="separate"/>
        </w:r>
        <w:r w:rsidR="00195779">
          <w:rPr>
            <w:webHidden/>
          </w:rPr>
          <w:t>24</w:t>
        </w:r>
        <w:r w:rsidR="005850A3">
          <w:rPr>
            <w:webHidden/>
          </w:rPr>
          <w:fldChar w:fldCharType="end"/>
        </w:r>
      </w:hyperlink>
    </w:p>
    <w:p w:rsidR="005850A3" w:rsidRDefault="00E7227A">
      <w:pPr>
        <w:pStyle w:val="TOC1"/>
        <w:rPr>
          <w:rFonts w:asciiTheme="minorHAnsi" w:eastAsiaTheme="minorEastAsia" w:hAnsiTheme="minorHAnsi" w:cstheme="minorBidi"/>
          <w:b w:val="0"/>
          <w:color w:val="auto"/>
          <w:szCs w:val="22"/>
          <w:lang w:val="en-AU" w:eastAsia="en-AU"/>
        </w:rPr>
      </w:pPr>
      <w:hyperlink w:anchor="_Toc443044159" w:history="1">
        <w:r w:rsidR="005850A3" w:rsidRPr="006C3202">
          <w:rPr>
            <w:rStyle w:val="Hyperlink"/>
          </w:rPr>
          <w:t>Appendix 3: Regression trees as statements</w:t>
        </w:r>
        <w:r w:rsidR="005850A3">
          <w:rPr>
            <w:webHidden/>
          </w:rPr>
          <w:tab/>
        </w:r>
        <w:r w:rsidR="005850A3">
          <w:rPr>
            <w:webHidden/>
          </w:rPr>
          <w:fldChar w:fldCharType="begin"/>
        </w:r>
        <w:r w:rsidR="005850A3">
          <w:rPr>
            <w:webHidden/>
          </w:rPr>
          <w:instrText xml:space="preserve"> PAGEREF _Toc443044159 \h </w:instrText>
        </w:r>
        <w:r w:rsidR="005850A3">
          <w:rPr>
            <w:webHidden/>
          </w:rPr>
        </w:r>
        <w:r w:rsidR="005850A3">
          <w:rPr>
            <w:webHidden/>
          </w:rPr>
          <w:fldChar w:fldCharType="separate"/>
        </w:r>
        <w:r w:rsidR="00195779">
          <w:rPr>
            <w:webHidden/>
          </w:rPr>
          <w:t>25</w:t>
        </w:r>
        <w:r w:rsidR="005850A3">
          <w:rPr>
            <w:webHidden/>
          </w:rPr>
          <w:fldChar w:fldCharType="end"/>
        </w:r>
      </w:hyperlink>
    </w:p>
    <w:p w:rsidR="00A74AEE" w:rsidRDefault="00A15796" w:rsidP="00991C27">
      <w:pPr>
        <w:rPr>
          <w:lang w:val="en-US"/>
        </w:rPr>
      </w:pPr>
      <w:r>
        <w:rPr>
          <w:lang w:val="en-US"/>
        </w:rPr>
        <w:fldChar w:fldCharType="end"/>
      </w:r>
    </w:p>
    <w:p w:rsidR="00A735F0" w:rsidRDefault="00A735F0" w:rsidP="00991C27">
      <w:pPr>
        <w:rPr>
          <w:lang w:val="en-US"/>
        </w:rPr>
      </w:pPr>
    </w:p>
    <w:p w:rsidR="00B3061B" w:rsidRDefault="00B3061B" w:rsidP="00CB33BB">
      <w:pPr>
        <w:pStyle w:val="TOC1"/>
        <w:sectPr w:rsidR="00B3061B" w:rsidSect="0024007D">
          <w:footerReference w:type="default" r:id="rId21"/>
          <w:headerReference w:type="first" r:id="rId22"/>
          <w:footerReference w:type="first" r:id="rId23"/>
          <w:pgSz w:w="11907" w:h="16840" w:code="9"/>
          <w:pgMar w:top="1134" w:right="1134" w:bottom="425" w:left="1134" w:header="709" w:footer="567" w:gutter="0"/>
          <w:pgNumType w:start="1"/>
          <w:cols w:space="708"/>
          <w:formProt w:val="0"/>
          <w:titlePg/>
          <w:docGrid w:linePitch="360"/>
        </w:sectPr>
      </w:pPr>
    </w:p>
    <w:p w:rsidR="00107D02" w:rsidRDefault="00107D02" w:rsidP="00107D02">
      <w:pPr>
        <w:pStyle w:val="HA"/>
      </w:pPr>
      <w:bookmarkStart w:id="2" w:name="_Toc443044135"/>
      <w:r>
        <w:lastRenderedPageBreak/>
        <w:t>Terms and abbreviations</w:t>
      </w:r>
      <w:bookmarkEnd w:id="2"/>
    </w:p>
    <w:p w:rsidR="004B2903" w:rsidRDefault="004B2903" w:rsidP="00107D02">
      <w:pPr>
        <w:pStyle w:val="Body2"/>
      </w:pPr>
      <w:r>
        <w:t>DELWP</w:t>
      </w:r>
      <w:r>
        <w:tab/>
      </w:r>
      <w:r>
        <w:tab/>
        <w:t>The Victorian Department of Environment, Land, Water and the Environment</w:t>
      </w:r>
    </w:p>
    <w:p w:rsidR="00107D02" w:rsidRDefault="00107D02" w:rsidP="00107D02">
      <w:pPr>
        <w:pStyle w:val="Body2"/>
        <w:rPr>
          <w:i/>
        </w:rPr>
      </w:pPr>
      <w:r>
        <w:t>EPBC Act</w:t>
      </w:r>
      <w:r>
        <w:tab/>
        <w:t xml:space="preserve">The Federal </w:t>
      </w:r>
      <w:r w:rsidRPr="00107D02">
        <w:rPr>
          <w:i/>
        </w:rPr>
        <w:t>Environment Protection and Bio</w:t>
      </w:r>
      <w:r>
        <w:rPr>
          <w:i/>
        </w:rPr>
        <w:t>diversity Conservation Act 1999</w:t>
      </w:r>
    </w:p>
    <w:p w:rsidR="00F66C7A" w:rsidRDefault="00F66C7A" w:rsidP="00107D02">
      <w:pPr>
        <w:pStyle w:val="Body2"/>
      </w:pPr>
      <w:r w:rsidRPr="00F66C7A">
        <w:t>GEW</w:t>
      </w:r>
      <w:r w:rsidRPr="00F66C7A">
        <w:tab/>
      </w:r>
      <w:r w:rsidRPr="00F66C7A">
        <w:tab/>
      </w:r>
      <w:r>
        <w:t>‘</w:t>
      </w:r>
      <w:r w:rsidRPr="00F66C7A">
        <w:t>Grassy Eucalypt Woodland of the Victorian Volcanic Plains</w:t>
      </w:r>
      <w:r>
        <w:t>’, listed under the EPBC Act</w:t>
      </w:r>
    </w:p>
    <w:p w:rsidR="00F66C7A" w:rsidRDefault="00F66C7A" w:rsidP="00F66C7A">
      <w:pPr>
        <w:pStyle w:val="Body2"/>
        <w:ind w:left="1440" w:hanging="1440"/>
      </w:pPr>
      <w:r>
        <w:t>MRF</w:t>
      </w:r>
      <w:r>
        <w:tab/>
        <w:t xml:space="preserve">Monitoring and Reporting Framework, </w:t>
      </w:r>
      <w:r w:rsidRPr="00162154">
        <w:rPr>
          <w:rFonts w:asciiTheme="minorHAnsi" w:hAnsiTheme="minorHAnsi"/>
          <w:lang w:val="en-US"/>
        </w:rPr>
        <w:t>Program Outcomes, for the Melbourne Strategic Assessment</w:t>
      </w:r>
      <w:r>
        <w:rPr>
          <w:rFonts w:asciiTheme="minorHAnsi" w:hAnsiTheme="minorHAnsi"/>
          <w:lang w:val="en-US"/>
        </w:rPr>
        <w:t xml:space="preserve"> (DELWP 2015)</w:t>
      </w:r>
      <w:r w:rsidRPr="00162154">
        <w:rPr>
          <w:rFonts w:asciiTheme="minorHAnsi" w:hAnsiTheme="minorHAnsi"/>
          <w:lang w:val="en-US"/>
        </w:rPr>
        <w:t xml:space="preserve">.  </w:t>
      </w:r>
    </w:p>
    <w:p w:rsidR="00F66C7A" w:rsidRDefault="00F66C7A" w:rsidP="00107D02">
      <w:pPr>
        <w:pStyle w:val="Body2"/>
      </w:pPr>
      <w:r>
        <w:t>MSA</w:t>
      </w:r>
      <w:r>
        <w:tab/>
      </w:r>
      <w:r>
        <w:tab/>
        <w:t>Melbourne Strategic Assessment project</w:t>
      </w:r>
    </w:p>
    <w:p w:rsidR="00F66C7A" w:rsidRDefault="00F66C7A" w:rsidP="00107D02">
      <w:pPr>
        <w:pStyle w:val="Body2"/>
      </w:pPr>
      <w:r>
        <w:t>NTG</w:t>
      </w:r>
      <w:r>
        <w:tab/>
      </w:r>
      <w:r>
        <w:tab/>
        <w:t xml:space="preserve">‘Natural Temperate Grassland of </w:t>
      </w:r>
      <w:r w:rsidRPr="00F66C7A">
        <w:t>the Victorian Volcanic Plains</w:t>
      </w:r>
      <w:r>
        <w:t>’, listed under the EPBC Act</w:t>
      </w:r>
    </w:p>
    <w:p w:rsidR="00F66C7A" w:rsidRPr="00F66C7A" w:rsidRDefault="00F66C7A" w:rsidP="00F66C7A">
      <w:pPr>
        <w:pStyle w:val="Body2"/>
        <w:ind w:left="1440" w:hanging="1440"/>
      </w:pPr>
      <w:r>
        <w:t>SHW</w:t>
      </w:r>
      <w:r>
        <w:tab/>
        <w:t>‘Seasonal Herbaceous Wetlands (freshwater) of the Temperate Lowland Plains’, listed under the EPBC Act</w:t>
      </w:r>
    </w:p>
    <w:p w:rsidR="00107D02" w:rsidRDefault="00107D02">
      <w:pPr>
        <w:rPr>
          <w:rFonts w:cs="Arial"/>
          <w:color w:val="228591"/>
          <w:sz w:val="40"/>
          <w:lang w:val="en-US"/>
        </w:rPr>
      </w:pPr>
      <w:r>
        <w:br w:type="page"/>
      </w:r>
    </w:p>
    <w:p w:rsidR="00991C27" w:rsidRDefault="00C83E05" w:rsidP="00107D02">
      <w:pPr>
        <w:pStyle w:val="HA"/>
      </w:pPr>
      <w:bookmarkStart w:id="3" w:name="_Toc443044136"/>
      <w:r>
        <w:lastRenderedPageBreak/>
        <w:t>Introduction</w:t>
      </w:r>
      <w:bookmarkEnd w:id="3"/>
    </w:p>
    <w:p w:rsidR="00F66C7A" w:rsidRDefault="00F66C7A" w:rsidP="00F66C7A">
      <w:pPr>
        <w:pStyle w:val="HB"/>
      </w:pPr>
      <w:bookmarkStart w:id="4" w:name="_Toc443044137"/>
      <w:r>
        <w:t>Background</w:t>
      </w:r>
      <w:bookmarkEnd w:id="4"/>
    </w:p>
    <w:p w:rsidR="00F66C7A" w:rsidRDefault="00F66C7A" w:rsidP="00F66C7A">
      <w:pPr>
        <w:pStyle w:val="Body2"/>
      </w:pPr>
      <w:r>
        <w:t xml:space="preserve">The Victorian Government </w:t>
      </w:r>
      <w:r w:rsidR="00E7227A">
        <w:t xml:space="preserve">will </w:t>
      </w:r>
      <w:r>
        <w:t xml:space="preserve">manage three threatened ecological communities in a series of conservation areas around the periphery of Melbourne.  These communities are all defined and listed as ‘critically endangered’ under the </w:t>
      </w:r>
      <w:r w:rsidRPr="00F66C7A">
        <w:rPr>
          <w:i/>
        </w:rPr>
        <w:t>Environment Protection and Biodiversity Conservation (EPBC) Act 1999</w:t>
      </w:r>
      <w:r>
        <w:t>:</w:t>
      </w:r>
    </w:p>
    <w:p w:rsidR="00F66C7A" w:rsidRDefault="00F66C7A" w:rsidP="00F66C7A">
      <w:pPr>
        <w:pStyle w:val="Body2"/>
        <w:numPr>
          <w:ilvl w:val="0"/>
          <w:numId w:val="37"/>
        </w:numPr>
      </w:pPr>
      <w:r>
        <w:t>Natural Temperate Grassland of the Victorian Volcanic Plain (NTG),</w:t>
      </w:r>
    </w:p>
    <w:p w:rsidR="00F66C7A" w:rsidRDefault="00F66C7A" w:rsidP="00F66C7A">
      <w:pPr>
        <w:pStyle w:val="Body2"/>
        <w:numPr>
          <w:ilvl w:val="0"/>
          <w:numId w:val="37"/>
        </w:numPr>
      </w:pPr>
      <w:r>
        <w:t>Seasonal Herbaceous Wetlands (freshwater) of the Temperate Lowland Plains (SHW), and</w:t>
      </w:r>
    </w:p>
    <w:p w:rsidR="00F66C7A" w:rsidRDefault="00F66C7A" w:rsidP="00F66C7A">
      <w:pPr>
        <w:pStyle w:val="Body2"/>
        <w:numPr>
          <w:ilvl w:val="0"/>
          <w:numId w:val="37"/>
        </w:numPr>
      </w:pPr>
      <w:r>
        <w:t>Grassy Eucalypt Woodland of the Victorian Volcanic Plain (GEW).</w:t>
      </w:r>
    </w:p>
    <w:p w:rsidR="00F66C7A" w:rsidRPr="00F66C7A" w:rsidRDefault="00F66C7A" w:rsidP="00F66C7A">
      <w:pPr>
        <w:pStyle w:val="Body2"/>
      </w:pPr>
      <w:r w:rsidRPr="00F66C7A">
        <w:t xml:space="preserve">The establishment and management of the conservation areas is part of the Melbourne Strategic Assessment (MSA), which is a response to the expansion of Melbourne’s Urban Growth Boundary. This expansion will impact the three ecological communities.  The establishment of the conservation areas is a measure aimed at mitigating some of this impact (DSE 2013).  </w:t>
      </w:r>
    </w:p>
    <w:p w:rsidR="00F66C7A" w:rsidRPr="00F66C7A" w:rsidRDefault="00F66C7A" w:rsidP="00F66C7A">
      <w:pPr>
        <w:pStyle w:val="Body2"/>
      </w:pPr>
      <w:r w:rsidRPr="00F66C7A">
        <w:t xml:space="preserve">The Victorian Government </w:t>
      </w:r>
      <w:r w:rsidR="00E7227A">
        <w:t xml:space="preserve">will also </w:t>
      </w:r>
      <w:r w:rsidRPr="00F66C7A">
        <w:t>report regularly on ecological outcomes. A Monitoring and Reporting Framework (MRF) provides the logic and basis for monitoring ecological change in the three communities, and provides specific Key Performance Indicators (KPIs) for each community (DELWP 2015a).</w:t>
      </w:r>
    </w:p>
    <w:p w:rsidR="00F66C7A" w:rsidRDefault="00F66C7A" w:rsidP="00F66C7A">
      <w:pPr>
        <w:pStyle w:val="Body2"/>
      </w:pPr>
      <w:r>
        <w:t>Change in each community is monitored by more than one KPI, with different KPIs serving to monitor different elements of the community (ranging from the structure of the vegetation, to the degree of invasion by exotic species).  NTG and GEW are served by seven KPIs, SHW by six.</w:t>
      </w:r>
    </w:p>
    <w:p w:rsidR="00F66C7A" w:rsidRPr="00FB2FAE" w:rsidRDefault="00F66C7A" w:rsidP="00F66C7A">
      <w:pPr>
        <w:pStyle w:val="Body2"/>
      </w:pPr>
      <w:r w:rsidRPr="00FB2FAE">
        <w:t xml:space="preserve">Reporting on the KPIs will provide a good record of ecological change in the communities.  However, any decisions which require an evaluation of overall change across all the KPIs, or any decisions which require trade-offs to be made between communities, will require more than a set of disconnected KPIs.  In order to make these types of evaluations, it is necessary to establish for each of the three communities a robust overall </w:t>
      </w:r>
      <w:r>
        <w:t xml:space="preserve">quality (or </w:t>
      </w:r>
      <w:r w:rsidRPr="00FB2FAE">
        <w:t>condition</w:t>
      </w:r>
      <w:r>
        <w:t>)</w:t>
      </w:r>
      <w:r w:rsidRPr="00FB2FAE">
        <w:t xml:space="preserve"> metric</w:t>
      </w:r>
      <w:r>
        <w:t>,</w:t>
      </w:r>
      <w:r w:rsidRPr="00FB2FAE">
        <w:t xml:space="preserve"> which blends the </w:t>
      </w:r>
      <w:r>
        <w:t xml:space="preserve">relevant </w:t>
      </w:r>
      <w:r w:rsidRPr="00FB2FAE">
        <w:t>KPIs</w:t>
      </w:r>
      <w:r>
        <w:t xml:space="preserve"> and any other relevant quality information</w:t>
      </w:r>
      <w:r w:rsidRPr="00FB2FAE">
        <w:t xml:space="preserve">.  The three metrics </w:t>
      </w:r>
      <w:r>
        <w:t>for the three communities should</w:t>
      </w:r>
      <w:r w:rsidRPr="00FB2FAE">
        <w:t xml:space="preserve"> be directly comparable to allow decisions to be made across the communities.</w:t>
      </w:r>
    </w:p>
    <w:p w:rsidR="00F66C7A" w:rsidRDefault="00F66C7A" w:rsidP="00F66C7A">
      <w:pPr>
        <w:pStyle w:val="Body2"/>
      </w:pPr>
      <w:r>
        <w:t xml:space="preserve">This report describes the creation of a vegetation quality assessment metric for GEW which serves these needs.  It accompanies another report which deals with SHW using the same approach, and follows a published report on NTG which first devised the approach (Sinclair </w:t>
      </w:r>
      <w:r w:rsidRPr="00F66C7A">
        <w:t>et al</w:t>
      </w:r>
      <w:r>
        <w:t>. 2015).</w:t>
      </w:r>
    </w:p>
    <w:p w:rsidR="00F66C7A" w:rsidRPr="00C103B6" w:rsidRDefault="00F66C7A" w:rsidP="00F66C7A">
      <w:pPr>
        <w:pStyle w:val="HB"/>
      </w:pPr>
      <w:bookmarkStart w:id="5" w:name="_Toc443044138"/>
      <w:r>
        <w:t>Approach to defining quality</w:t>
      </w:r>
      <w:bookmarkEnd w:id="5"/>
    </w:p>
    <w:p w:rsidR="00F66C7A" w:rsidRDefault="00F66C7A" w:rsidP="00F66C7A">
      <w:pPr>
        <w:pStyle w:val="Body2"/>
      </w:pPr>
      <w:r>
        <w:t xml:space="preserve">The aim is to devise a metric (i.e. an algorithm, a set of rules, a tool, a model) which takes information relevant to the ecology of GEW (and to all relevant KPIs), and blends this information into a single number.  </w:t>
      </w:r>
      <w:r w:rsidR="00E7227A">
        <w:t>Previously, this type of problem has been approached</w:t>
      </w:r>
      <w:r w:rsidR="00E7227A" w:rsidRPr="00D20680">
        <w:t xml:space="preserve"> </w:t>
      </w:r>
      <w:r w:rsidRPr="00D20680">
        <w:t>by deciding on a standard way of weigh</w:t>
      </w:r>
      <w:r>
        <w:t>t</w:t>
      </w:r>
      <w:r w:rsidR="00E7227A">
        <w:t>ing and combining various</w:t>
      </w:r>
      <w:r w:rsidRPr="00D20680">
        <w:t xml:space="preserve"> measures to create a</w:t>
      </w:r>
      <w:r>
        <w:t>n overall score that reflects ‘quality,</w:t>
      </w:r>
      <w:r w:rsidRPr="00D20680">
        <w:t xml:space="preserve">’ </w:t>
      </w:r>
      <w:r>
        <w:t xml:space="preserve">with reference to the scientific literature </w:t>
      </w:r>
      <w:r w:rsidR="00E7227A">
        <w:t xml:space="preserve">or expert opinion </w:t>
      </w:r>
      <w:r>
        <w:t>to justify the inclusion of variables and their weights</w:t>
      </w:r>
      <w:r w:rsidR="00E7227A">
        <w:t xml:space="preserve"> (Oliver 2002)</w:t>
      </w:r>
      <w:r>
        <w:t xml:space="preserve">.  This is the approach employed in Victoria’s </w:t>
      </w:r>
      <w:r w:rsidRPr="00F66C7A">
        <w:t xml:space="preserve">Habitat Hectares </w:t>
      </w:r>
      <w:r>
        <w:t xml:space="preserve">condition assessment tool </w:t>
      </w:r>
      <w:r w:rsidRPr="00D20680">
        <w:t>(</w:t>
      </w:r>
      <w:proofErr w:type="spellStart"/>
      <w:r>
        <w:t>Parkes</w:t>
      </w:r>
      <w:proofErr w:type="spellEnd"/>
      <w:r>
        <w:t xml:space="preserve"> </w:t>
      </w:r>
      <w:r w:rsidRPr="00F66C7A">
        <w:t>et al</w:t>
      </w:r>
      <w:r>
        <w:t>. 2003).</w:t>
      </w:r>
    </w:p>
    <w:p w:rsidR="00F66C7A" w:rsidRDefault="00F66C7A" w:rsidP="00F66C7A">
      <w:pPr>
        <w:pStyle w:val="Body2"/>
      </w:pPr>
      <w:r>
        <w:t xml:space="preserve">An alternative approach was recently employed to devise a quality metric for NTG (Sinclair </w:t>
      </w:r>
      <w:r w:rsidRPr="00F66C7A">
        <w:t>et al</w:t>
      </w:r>
      <w:r>
        <w:t xml:space="preserve">. 2015).  In this case, expert </w:t>
      </w:r>
      <w:r w:rsidRPr="00D20680">
        <w:t xml:space="preserve">stakeholders </w:t>
      </w:r>
      <w:r>
        <w:t xml:space="preserve">were asked </w:t>
      </w:r>
      <w:r w:rsidRPr="00D20680">
        <w:t xml:space="preserve">to evaluate </w:t>
      </w:r>
      <w:r>
        <w:t xml:space="preserve">and score a set of fictional but realistic sites, presented to them as site descriptions using the relevant variables.  Their scores for each site (dependent variables) and the variables describing that site (independent variables) were then used to train a model (an ensemble of bagged regression trees) that aimed to predict the quality score from the measured variables.  The model was able to produce scores </w:t>
      </w:r>
      <w:r w:rsidRPr="00945272">
        <w:t xml:space="preserve">similar to real expert evaluations of independent test sites not used to train the model. </w:t>
      </w:r>
      <w:r w:rsidR="00E7227A">
        <w:t xml:space="preserve"> The resultant model can be used directly as a quality metric.</w:t>
      </w:r>
    </w:p>
    <w:p w:rsidR="00F66C7A" w:rsidRDefault="00F66C7A" w:rsidP="00F66C7A">
      <w:pPr>
        <w:pStyle w:val="Body2"/>
      </w:pPr>
      <w:r>
        <w:lastRenderedPageBreak/>
        <w:t xml:space="preserve">The same expert-based modelling approach used for NTG will be employed here.  It was chosen because it has several advantages over methods based on weighted combinations.  These are summarised below, but more fully-enunciated in Sinclair </w:t>
      </w:r>
      <w:r w:rsidRPr="00F66C7A">
        <w:t>et al</w:t>
      </w:r>
      <w:r>
        <w:t>. (2015):</w:t>
      </w:r>
    </w:p>
    <w:p w:rsidR="00F66C7A" w:rsidRDefault="00F66C7A" w:rsidP="00F66C7A">
      <w:pPr>
        <w:pStyle w:val="Body2"/>
        <w:numPr>
          <w:ilvl w:val="0"/>
          <w:numId w:val="38"/>
        </w:numPr>
      </w:pPr>
      <w:r>
        <w:t xml:space="preserve">A tool based on the evaluations of </w:t>
      </w:r>
      <w:r w:rsidR="00E7227A">
        <w:t xml:space="preserve">experts and </w:t>
      </w:r>
      <w:r>
        <w:t>stakeholders can be said to directly represent or ‘speak for’ those stakeholders.</w:t>
      </w:r>
    </w:p>
    <w:p w:rsidR="00F66C7A" w:rsidRDefault="00F66C7A" w:rsidP="00F66C7A">
      <w:pPr>
        <w:pStyle w:val="Body2"/>
        <w:numPr>
          <w:ilvl w:val="0"/>
          <w:numId w:val="38"/>
        </w:numPr>
      </w:pPr>
      <w:r>
        <w:t>There is an explicit recognition that the concept of ecological quality is subjective (</w:t>
      </w:r>
      <w:r w:rsidRPr="00F66C7A">
        <w:t xml:space="preserve">Keith and </w:t>
      </w:r>
      <w:proofErr w:type="spellStart"/>
      <w:r w:rsidRPr="00F66C7A">
        <w:t>Gorrod</w:t>
      </w:r>
      <w:proofErr w:type="spellEnd"/>
      <w:r w:rsidRPr="00F66C7A">
        <w:t xml:space="preserve"> 2006, Sinclair et al. 2015)</w:t>
      </w:r>
      <w:r>
        <w:t>, and is derived from human preferences.</w:t>
      </w:r>
    </w:p>
    <w:p w:rsidR="00F66C7A" w:rsidRDefault="00F66C7A" w:rsidP="00F66C7A">
      <w:pPr>
        <w:pStyle w:val="Body2"/>
        <w:numPr>
          <w:ilvl w:val="0"/>
          <w:numId w:val="38"/>
        </w:numPr>
      </w:pPr>
      <w:r>
        <w:t xml:space="preserve">The means of blending the multiple variables is driven by data, and is transparent and repeatable. Disagreement or criticism about the aggregation of the </w:t>
      </w:r>
      <w:r w:rsidR="00E7227A">
        <w:t xml:space="preserve">components of the </w:t>
      </w:r>
      <w:r>
        <w:t>metric could be settled by recourse to the data, or by refreshing the data.</w:t>
      </w:r>
    </w:p>
    <w:p w:rsidR="00F66C7A" w:rsidRDefault="00F66C7A" w:rsidP="00F66C7A">
      <w:pPr>
        <w:pStyle w:val="Body2"/>
        <w:numPr>
          <w:ilvl w:val="0"/>
          <w:numId w:val="38"/>
        </w:numPr>
      </w:pPr>
      <w:r>
        <w:t>Regression trees can readily deal with multiple variables that are of different kinds (categorical, binary, ordinal, continuous) and not independent, in a way that weighted combinations cannot easily achieve (Kim and Park 2009).  This is important if the influence of one variable varies with the value of another variable; which is common in ecological systems.</w:t>
      </w:r>
    </w:p>
    <w:p w:rsidR="00F66C7A" w:rsidRDefault="00F66C7A" w:rsidP="00F66C7A">
      <w:pPr>
        <w:pStyle w:val="Body2"/>
        <w:numPr>
          <w:ilvl w:val="0"/>
          <w:numId w:val="38"/>
        </w:numPr>
        <w:ind w:left="714" w:hanging="357"/>
      </w:pPr>
      <w:r>
        <w:t>A quality assessment tool based explicitly on stakeholder evaluation does not require a ‘benchmark’.  Benchmarks are often developed to describe ‘intact’ ecosystems; usually with reference to their character before agricultural or other substantial human impacts.  Developing benchmarks can be difficult and controversial, given debate about the appropriateness of using pre-colonial conditions as a benchmark, the lack of detailed knowledge</w:t>
      </w:r>
      <w:r w:rsidR="00E7227A">
        <w:t xml:space="preserve"> about the ‘intact’</w:t>
      </w:r>
      <w:r>
        <w:t xml:space="preserve"> state of most ecosystems (including GEW), and the uncertainty about whether climate change will alter the appropriateness of benchmarks in future.</w:t>
      </w:r>
    </w:p>
    <w:p w:rsidR="00F66C7A" w:rsidRDefault="00F66C7A" w:rsidP="00F66C7A">
      <w:pPr>
        <w:pStyle w:val="HB"/>
      </w:pPr>
      <w:bookmarkStart w:id="6" w:name="_Toc443044139"/>
      <w:r>
        <w:t>Description of the vegetation of the ecological community</w:t>
      </w:r>
      <w:bookmarkEnd w:id="6"/>
    </w:p>
    <w:p w:rsidR="00F66C7A" w:rsidRPr="00350CD3" w:rsidRDefault="00F66C7A" w:rsidP="00F66C7A">
      <w:pPr>
        <w:pStyle w:val="Body2"/>
      </w:pPr>
      <w:r w:rsidRPr="00350CD3">
        <w:t>The GEW community i</w:t>
      </w:r>
      <w:r>
        <w:t>s fully defined and described in</w:t>
      </w:r>
      <w:r w:rsidRPr="00350CD3">
        <w:t xml:space="preserve"> the EPBC-Act ‘listing advice’ for the community (TSSC 2008; see also DSEWPAC 2011).  The community has been the subject of very little research (</w:t>
      </w:r>
      <w:r>
        <w:t xml:space="preserve">e.g. </w:t>
      </w:r>
      <w:r w:rsidRPr="00350CD3">
        <w:t>in comparison to Natural Temperate Grassland), and much of what is known is gleaned from anecdotal observation and inference from related ecosystems, rather than direct experimental studies</w:t>
      </w:r>
      <w:r>
        <w:t>.</w:t>
      </w:r>
    </w:p>
    <w:p w:rsidR="00F66C7A" w:rsidRDefault="00F66C7A" w:rsidP="00F66C7A">
      <w:pPr>
        <w:pStyle w:val="Body2"/>
      </w:pPr>
      <w:r w:rsidRPr="00350CD3">
        <w:t xml:space="preserve">The community is an open-forest, woodland or savannah dominated by eucalypts, over an understorey of native tussock-forming grasses, along with a variety of herbs.  It may support a mid-storey of small trees and shrubs. It is by definition restricted to the </w:t>
      </w:r>
      <w:r>
        <w:t xml:space="preserve">‘Victorian Volcanic Plain’ </w:t>
      </w:r>
      <w:r w:rsidRPr="00350CD3">
        <w:t>landscape formed by lava flows in the Quaternary periods, which extends from north of Melbourne past Portland in Victoria’s west. GEW is mainly located just north of Melbourne, between the Dunkeld and Beaufort areas, and in scattered places elsewhere.</w:t>
      </w:r>
      <w:r>
        <w:t xml:space="preserve">  An example of the community is shown </w:t>
      </w:r>
      <w:r w:rsidR="008C5E7D">
        <w:t xml:space="preserve">on the front cover of the report, and </w:t>
      </w:r>
      <w:r>
        <w:t>in Figure 1.</w:t>
      </w:r>
    </w:p>
    <w:p w:rsidR="00F66C7A" w:rsidRDefault="00F66C7A" w:rsidP="00F66C7A">
      <w:pPr>
        <w:spacing w:line="360" w:lineRule="auto"/>
      </w:pPr>
      <w:r>
        <w:rPr>
          <w:noProof/>
          <w:lang w:eastAsia="en-AU"/>
        </w:rPr>
        <w:lastRenderedPageBreak/>
        <w:drawing>
          <wp:inline distT="0" distB="0" distL="0" distR="0" wp14:anchorId="45C758DD" wp14:editId="0BA8F9A5">
            <wp:extent cx="5722883" cy="3475333"/>
            <wp:effectExtent l="19050" t="19050" r="11430"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clair_extra1.JPG"/>
                    <pic:cNvPicPr/>
                  </pic:nvPicPr>
                  <pic:blipFill rotWithShape="1">
                    <a:blip r:embed="rId24" cstate="print">
                      <a:extLst>
                        <a:ext uri="{BEBA8EAE-BF5A-486C-A8C5-ECC9F3942E4B}">
                          <a14:imgProps xmlns:a14="http://schemas.microsoft.com/office/drawing/2010/main">
                            <a14:imgLayer r:embed="rId25">
                              <a14:imgEffect>
                                <a14:brightnessContrast bright="20000" contrast="-20000"/>
                              </a14:imgEffect>
                            </a14:imgLayer>
                          </a14:imgProps>
                        </a:ext>
                        <a:ext uri="{28A0092B-C50C-407E-A947-70E740481C1C}">
                          <a14:useLocalDpi xmlns:a14="http://schemas.microsoft.com/office/drawing/2010/main" val="0"/>
                        </a:ext>
                      </a:extLst>
                    </a:blip>
                    <a:srcRect b="15364"/>
                    <a:stretch/>
                  </pic:blipFill>
                  <pic:spPr bwMode="auto">
                    <a:xfrm>
                      <a:off x="0" y="0"/>
                      <a:ext cx="5725188" cy="347673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6C7A" w:rsidRPr="008C5E7D" w:rsidRDefault="00F66C7A" w:rsidP="008C5E7D">
      <w:pPr>
        <w:pStyle w:val="Caption"/>
      </w:pPr>
      <w:r w:rsidRPr="008C5E7D">
        <w:t>Figure 1.  The Grassy Eucalypt Woodland community.  Note the sparse woodland structure dominated by River Red Gum (</w:t>
      </w:r>
      <w:r w:rsidRPr="008C5E7D">
        <w:rPr>
          <w:i/>
        </w:rPr>
        <w:t xml:space="preserve">Eucalyptus </w:t>
      </w:r>
      <w:proofErr w:type="spellStart"/>
      <w:r w:rsidRPr="008C5E7D">
        <w:rPr>
          <w:i/>
        </w:rPr>
        <w:t>camaldulensis</w:t>
      </w:r>
      <w:proofErr w:type="spellEnd"/>
      <w:r w:rsidRPr="008C5E7D">
        <w:t>), the undulating, rocky terrain covered by Kangaroo Grass (</w:t>
      </w:r>
      <w:proofErr w:type="spellStart"/>
      <w:r w:rsidRPr="008C5E7D">
        <w:rPr>
          <w:i/>
        </w:rPr>
        <w:t>Themeda</w:t>
      </w:r>
      <w:proofErr w:type="spellEnd"/>
      <w:r w:rsidRPr="008C5E7D">
        <w:rPr>
          <w:i/>
        </w:rPr>
        <w:t xml:space="preserve"> </w:t>
      </w:r>
      <w:proofErr w:type="spellStart"/>
      <w:r w:rsidRPr="008C5E7D">
        <w:rPr>
          <w:i/>
        </w:rPr>
        <w:t>triandra</w:t>
      </w:r>
      <w:proofErr w:type="spellEnd"/>
      <w:r w:rsidRPr="008C5E7D">
        <w:t>), and the low abundance of shrubs.</w:t>
      </w:r>
    </w:p>
    <w:p w:rsidR="00F66C7A" w:rsidRDefault="00F66C7A" w:rsidP="00F66C7A">
      <w:pPr>
        <w:spacing w:afterLines="113" w:after="271" w:line="240" w:lineRule="atLeast"/>
        <w:rPr>
          <w:rFonts w:cs="Arial"/>
          <w:szCs w:val="22"/>
        </w:rPr>
      </w:pPr>
    </w:p>
    <w:p w:rsidR="00F66C7A" w:rsidRPr="00F66C7A" w:rsidRDefault="00F66C7A" w:rsidP="00F66C7A">
      <w:pPr>
        <w:spacing w:afterLines="113" w:after="271" w:line="240" w:lineRule="atLeast"/>
        <w:rPr>
          <w:rFonts w:cs="Arial"/>
          <w:szCs w:val="22"/>
        </w:rPr>
      </w:pPr>
      <w:r w:rsidRPr="00F66C7A">
        <w:rPr>
          <w:rFonts w:cs="Arial"/>
          <w:szCs w:val="22"/>
        </w:rPr>
        <w:t xml:space="preserve">The community is shaped by the nature of the basaltic soils.  The relatively fertile clay soils generally favour certain life-forms and phylogenetic groups over others.  The families </w:t>
      </w:r>
      <w:proofErr w:type="spellStart"/>
      <w:r w:rsidRPr="00F66C7A">
        <w:rPr>
          <w:rFonts w:cs="Arial"/>
          <w:szCs w:val="22"/>
        </w:rPr>
        <w:t>Poaceae</w:t>
      </w:r>
      <w:proofErr w:type="spellEnd"/>
      <w:r w:rsidRPr="00F66C7A">
        <w:rPr>
          <w:rFonts w:cs="Arial"/>
          <w:szCs w:val="22"/>
        </w:rPr>
        <w:t xml:space="preserve"> and </w:t>
      </w:r>
      <w:proofErr w:type="spellStart"/>
      <w:r w:rsidRPr="00F66C7A">
        <w:rPr>
          <w:rFonts w:cs="Arial"/>
          <w:szCs w:val="22"/>
        </w:rPr>
        <w:t>Asteraceae</w:t>
      </w:r>
      <w:proofErr w:type="spellEnd"/>
      <w:r w:rsidRPr="00F66C7A">
        <w:rPr>
          <w:rFonts w:cs="Arial"/>
          <w:szCs w:val="22"/>
        </w:rPr>
        <w:t xml:space="preserve"> dominate in both cover and number of species; at the expense of many families which are prominent elsewhere in south-eastern Australia (e.g. the </w:t>
      </w:r>
      <w:proofErr w:type="spellStart"/>
      <w:r w:rsidRPr="00F66C7A">
        <w:rPr>
          <w:rFonts w:cs="Arial"/>
          <w:szCs w:val="22"/>
        </w:rPr>
        <w:t>Ericaceae</w:t>
      </w:r>
      <w:proofErr w:type="spellEnd"/>
      <w:r w:rsidRPr="00F66C7A">
        <w:rPr>
          <w:rFonts w:cs="Arial"/>
          <w:szCs w:val="22"/>
        </w:rPr>
        <w:t xml:space="preserve">, </w:t>
      </w:r>
      <w:proofErr w:type="spellStart"/>
      <w:r w:rsidRPr="00F66C7A">
        <w:rPr>
          <w:rFonts w:cs="Arial"/>
          <w:szCs w:val="22"/>
        </w:rPr>
        <w:t>Myrtaceae</w:t>
      </w:r>
      <w:proofErr w:type="spellEnd"/>
      <w:r w:rsidRPr="00F66C7A">
        <w:rPr>
          <w:rFonts w:cs="Arial"/>
          <w:szCs w:val="22"/>
        </w:rPr>
        <w:t xml:space="preserve">, </w:t>
      </w:r>
      <w:proofErr w:type="spellStart"/>
      <w:r w:rsidRPr="00F66C7A">
        <w:rPr>
          <w:rFonts w:cs="Arial"/>
          <w:szCs w:val="22"/>
        </w:rPr>
        <w:t>Proteaceae</w:t>
      </w:r>
      <w:proofErr w:type="spellEnd"/>
      <w:r w:rsidRPr="00F66C7A">
        <w:rPr>
          <w:rFonts w:cs="Arial"/>
          <w:szCs w:val="22"/>
        </w:rPr>
        <w:t xml:space="preserve"> and </w:t>
      </w:r>
      <w:proofErr w:type="spellStart"/>
      <w:r w:rsidRPr="00F66C7A">
        <w:rPr>
          <w:rFonts w:cs="Arial"/>
          <w:szCs w:val="22"/>
        </w:rPr>
        <w:t>Restionaceae</w:t>
      </w:r>
      <w:proofErr w:type="spellEnd"/>
      <w:r w:rsidRPr="00F66C7A">
        <w:rPr>
          <w:rFonts w:cs="Arial"/>
          <w:szCs w:val="22"/>
        </w:rPr>
        <w:t xml:space="preserve"> are very poorly represented) (</w:t>
      </w:r>
      <w:proofErr w:type="spellStart"/>
      <w:r w:rsidRPr="00F66C7A">
        <w:rPr>
          <w:rFonts w:cs="Arial"/>
          <w:szCs w:val="22"/>
        </w:rPr>
        <w:t>Coupland</w:t>
      </w:r>
      <w:proofErr w:type="spellEnd"/>
      <w:r w:rsidRPr="00F66C7A">
        <w:rPr>
          <w:rFonts w:cs="Arial"/>
          <w:szCs w:val="22"/>
        </w:rPr>
        <w:t xml:space="preserve"> 1979, Stock and </w:t>
      </w:r>
      <w:proofErr w:type="spellStart"/>
      <w:r w:rsidRPr="00F66C7A">
        <w:rPr>
          <w:rFonts w:cs="Arial"/>
          <w:szCs w:val="22"/>
        </w:rPr>
        <w:t>Verboom</w:t>
      </w:r>
      <w:proofErr w:type="spellEnd"/>
      <w:r w:rsidRPr="00F66C7A">
        <w:rPr>
          <w:rFonts w:cs="Arial"/>
          <w:szCs w:val="22"/>
        </w:rPr>
        <w:t xml:space="preserve"> 2012).  </w:t>
      </w:r>
    </w:p>
    <w:p w:rsidR="00F66C7A" w:rsidRPr="00F66C7A" w:rsidRDefault="00F66C7A" w:rsidP="00F66C7A">
      <w:pPr>
        <w:spacing w:afterLines="113" w:after="271" w:line="240" w:lineRule="atLeast"/>
        <w:rPr>
          <w:rFonts w:cs="Arial"/>
          <w:szCs w:val="22"/>
        </w:rPr>
      </w:pPr>
      <w:r w:rsidRPr="00F66C7A">
        <w:rPr>
          <w:rFonts w:cs="Arial"/>
          <w:szCs w:val="22"/>
        </w:rPr>
        <w:t xml:space="preserve">Grassy Eucalypt Woodland supported numerous grass species.  One of the most prominent in many intact sites is Kangaroo Grass </w:t>
      </w:r>
      <w:proofErr w:type="spellStart"/>
      <w:r w:rsidRPr="008C5E7D">
        <w:rPr>
          <w:rFonts w:cs="Arial"/>
          <w:i/>
          <w:szCs w:val="22"/>
        </w:rPr>
        <w:t>Themeda</w:t>
      </w:r>
      <w:proofErr w:type="spellEnd"/>
      <w:r w:rsidRPr="008C5E7D">
        <w:rPr>
          <w:rFonts w:cs="Arial"/>
          <w:i/>
          <w:szCs w:val="22"/>
        </w:rPr>
        <w:t xml:space="preserve"> </w:t>
      </w:r>
      <w:proofErr w:type="spellStart"/>
      <w:r w:rsidRPr="008C5E7D">
        <w:rPr>
          <w:rFonts w:cs="Arial"/>
          <w:i/>
          <w:szCs w:val="22"/>
        </w:rPr>
        <w:t>triandra</w:t>
      </w:r>
      <w:proofErr w:type="spellEnd"/>
      <w:r w:rsidRPr="00F66C7A">
        <w:rPr>
          <w:rFonts w:cs="Arial"/>
          <w:szCs w:val="22"/>
        </w:rPr>
        <w:t>.  This species has also been the subject of a great deal of research, and it is considered a Keystone species (as defined by Mills et al. 1993). It strongly influences the dynamics of nutrient cycling (Prober and Lunt 2009), and (in grasslands studies) competitively excludes many other species if its growth is not regularly checked by fire, herbivory, or drought (</w:t>
      </w:r>
      <w:proofErr w:type="spellStart"/>
      <w:r w:rsidRPr="00F66C7A">
        <w:rPr>
          <w:rFonts w:cs="Arial"/>
          <w:szCs w:val="22"/>
        </w:rPr>
        <w:t>Stuwe</w:t>
      </w:r>
      <w:proofErr w:type="spellEnd"/>
      <w:r w:rsidRPr="00F66C7A">
        <w:rPr>
          <w:rFonts w:cs="Arial"/>
          <w:szCs w:val="22"/>
        </w:rPr>
        <w:t xml:space="preserve"> and Parsons 1977). It is not well known to what degree other grass species may perform these functions. it is also important to note that Kangaroo Grass is not always prominent.  In many contexts other species dominate, such as Common Tussock-grass </w:t>
      </w:r>
      <w:proofErr w:type="spellStart"/>
      <w:r w:rsidRPr="008C5E7D">
        <w:rPr>
          <w:rFonts w:cs="Arial"/>
          <w:i/>
          <w:szCs w:val="22"/>
        </w:rPr>
        <w:t>Poa</w:t>
      </w:r>
      <w:proofErr w:type="spellEnd"/>
      <w:r w:rsidRPr="008C5E7D">
        <w:rPr>
          <w:rFonts w:cs="Arial"/>
          <w:i/>
          <w:szCs w:val="22"/>
        </w:rPr>
        <w:t xml:space="preserve"> </w:t>
      </w:r>
      <w:proofErr w:type="spellStart"/>
      <w:r w:rsidRPr="008C5E7D">
        <w:rPr>
          <w:rFonts w:cs="Arial"/>
          <w:i/>
          <w:szCs w:val="22"/>
        </w:rPr>
        <w:t>labillardieri</w:t>
      </w:r>
      <w:proofErr w:type="spellEnd"/>
      <w:r w:rsidRPr="00F66C7A">
        <w:rPr>
          <w:rFonts w:cs="Arial"/>
          <w:szCs w:val="22"/>
        </w:rPr>
        <w:t xml:space="preserve"> on low-lying flats and </w:t>
      </w:r>
      <w:proofErr w:type="spellStart"/>
      <w:r w:rsidRPr="00F66C7A">
        <w:rPr>
          <w:rFonts w:cs="Arial"/>
          <w:szCs w:val="22"/>
        </w:rPr>
        <w:t>gilgai</w:t>
      </w:r>
      <w:proofErr w:type="spellEnd"/>
      <w:r w:rsidRPr="00F66C7A">
        <w:rPr>
          <w:rFonts w:cs="Arial"/>
          <w:szCs w:val="22"/>
        </w:rPr>
        <w:t xml:space="preserve"> plains.</w:t>
      </w:r>
    </w:p>
    <w:p w:rsidR="00F66C7A" w:rsidRPr="00F66C7A" w:rsidRDefault="00F66C7A" w:rsidP="00F66C7A">
      <w:pPr>
        <w:spacing w:afterLines="113" w:after="271" w:line="240" w:lineRule="atLeast"/>
        <w:rPr>
          <w:rFonts w:cs="Arial"/>
          <w:szCs w:val="22"/>
        </w:rPr>
      </w:pPr>
      <w:r w:rsidRPr="00F66C7A">
        <w:rPr>
          <w:rFonts w:cs="Arial"/>
          <w:szCs w:val="22"/>
        </w:rPr>
        <w:t>Early accounts indicate that GEW tree densities varied greatly, with some areas of ‘forest’ and other very open woodlands with low tree densities (Hoddle 1839, Kearney 1853).  Correspondingly, the EPBC listed community may display variable tree cover.  Over much of its area, the Victorian Volcanic Plains produces heavy (small-</w:t>
      </w:r>
      <w:proofErr w:type="spellStart"/>
      <w:r w:rsidRPr="00F66C7A">
        <w:rPr>
          <w:rFonts w:cs="Arial"/>
          <w:szCs w:val="22"/>
        </w:rPr>
        <w:t>particled</w:t>
      </w:r>
      <w:proofErr w:type="spellEnd"/>
      <w:r w:rsidRPr="00F66C7A">
        <w:rPr>
          <w:rFonts w:cs="Arial"/>
          <w:szCs w:val="22"/>
        </w:rPr>
        <w:t xml:space="preserve">) clay soils which are antagonistic to tree growth as a result of several interacting factors including the physical difficulty for plants to extract  water from fine clays.   In many places where GEW occurs, the growth of Eucalyptus trees is indeed marginal, and GEW often abuts areas of savannah or largely treeless-grassland.  Wherever GEW does occur, the factors excluding trees are sufficiently relaxed to allow woodland or forest to develop. This may occur in several ways, in different contexts.  In some places, stony rises or lava barriers produce terrain with many rocks in and on the soil surface ameliorate drought stress by providing a matrix to hold water, some degree of ‘mulching’, physical barriers to soil cracking, germination niches, and lighter soils due to the erosion of finer particles to lower ground. In other cases, local topographic variation produces area that accumulate moisture (low-lying flats).  Other areas are able </w:t>
      </w:r>
      <w:r w:rsidRPr="00F66C7A">
        <w:rPr>
          <w:rFonts w:cs="Arial"/>
          <w:szCs w:val="22"/>
        </w:rPr>
        <w:lastRenderedPageBreak/>
        <w:t>to support trees because the soil surface layer includes coarser particles derived from various sources.  In still other places, rainfall is simply high enough to support trees on heavy clays.    Biological processes may also influence GEW vegetation structure and composition.  For example, it is known that Eucalyptus seedlings can form dense stands under some conditions, but biological factors normally thin them.  Regular burning, or browsing by animals may suppress seedlings, leaving only occasional plants to reach the canopy.  Competition for water during drought, when individual trees may require root access to areas beyond their crowns, may also reduce tree densities; as may competition with grasses.  There is a large literature which testifies to the importance of these factors in savannahs and woodland dynamics generally (</w:t>
      </w:r>
      <w:proofErr w:type="spellStart"/>
      <w:r w:rsidRPr="00F66C7A">
        <w:rPr>
          <w:rFonts w:cs="Arial"/>
          <w:szCs w:val="22"/>
        </w:rPr>
        <w:t>Skarpe</w:t>
      </w:r>
      <w:proofErr w:type="spellEnd"/>
      <w:r w:rsidRPr="00F66C7A">
        <w:rPr>
          <w:rFonts w:cs="Arial"/>
          <w:szCs w:val="22"/>
        </w:rPr>
        <w:t xml:space="preserve"> 1992; </w:t>
      </w:r>
      <w:proofErr w:type="spellStart"/>
      <w:r w:rsidRPr="00F66C7A">
        <w:rPr>
          <w:rFonts w:cs="Arial"/>
          <w:szCs w:val="22"/>
        </w:rPr>
        <w:t>Sankaran</w:t>
      </w:r>
      <w:proofErr w:type="spellEnd"/>
      <w:r w:rsidRPr="00F66C7A">
        <w:rPr>
          <w:rFonts w:cs="Arial"/>
          <w:szCs w:val="22"/>
        </w:rPr>
        <w:t xml:space="preserve"> et al 2004, Fowler and Simmons 2009), but no studies so far have clarified the relative importance of these factors in GEW.</w:t>
      </w:r>
    </w:p>
    <w:p w:rsidR="00F66C7A" w:rsidRPr="00F66C7A" w:rsidRDefault="00F66C7A" w:rsidP="00F66C7A">
      <w:pPr>
        <w:spacing w:afterLines="113" w:after="271" w:line="240" w:lineRule="atLeast"/>
        <w:rPr>
          <w:rFonts w:cs="Arial"/>
          <w:szCs w:val="22"/>
        </w:rPr>
      </w:pPr>
      <w:r w:rsidRPr="00F66C7A">
        <w:rPr>
          <w:rFonts w:cs="Arial"/>
          <w:szCs w:val="22"/>
        </w:rPr>
        <w:t xml:space="preserve">GEW probably once supported a middle layer of small trees (e.g. </w:t>
      </w:r>
      <w:r w:rsidRPr="008C5E7D">
        <w:rPr>
          <w:rFonts w:cs="Arial"/>
          <w:i/>
          <w:szCs w:val="22"/>
        </w:rPr>
        <w:t xml:space="preserve">Acacia </w:t>
      </w:r>
      <w:proofErr w:type="spellStart"/>
      <w:r w:rsidRPr="008C5E7D">
        <w:rPr>
          <w:rFonts w:cs="Arial"/>
          <w:i/>
          <w:szCs w:val="22"/>
        </w:rPr>
        <w:t>melanoxylon</w:t>
      </w:r>
      <w:proofErr w:type="spellEnd"/>
      <w:r w:rsidRPr="00F66C7A">
        <w:rPr>
          <w:rFonts w:cs="Arial"/>
          <w:szCs w:val="22"/>
        </w:rPr>
        <w:t xml:space="preserve">, </w:t>
      </w:r>
      <w:r w:rsidRPr="008C5E7D">
        <w:rPr>
          <w:rFonts w:cs="Arial"/>
          <w:i/>
          <w:szCs w:val="22"/>
        </w:rPr>
        <w:t xml:space="preserve">Acacia </w:t>
      </w:r>
      <w:proofErr w:type="spellStart"/>
      <w:r w:rsidRPr="008C5E7D">
        <w:rPr>
          <w:rFonts w:cs="Arial"/>
          <w:i/>
          <w:szCs w:val="22"/>
        </w:rPr>
        <w:t>mearnsii</w:t>
      </w:r>
      <w:proofErr w:type="spellEnd"/>
      <w:r w:rsidRPr="00F66C7A">
        <w:rPr>
          <w:rFonts w:cs="Arial"/>
          <w:szCs w:val="22"/>
        </w:rPr>
        <w:t xml:space="preserve">, </w:t>
      </w:r>
      <w:proofErr w:type="spellStart"/>
      <w:r w:rsidRPr="008C5E7D">
        <w:rPr>
          <w:rFonts w:cs="Arial"/>
          <w:i/>
          <w:szCs w:val="22"/>
        </w:rPr>
        <w:t>Allocasuarina</w:t>
      </w:r>
      <w:proofErr w:type="spellEnd"/>
      <w:r w:rsidRPr="008C5E7D">
        <w:rPr>
          <w:rFonts w:cs="Arial"/>
          <w:i/>
          <w:szCs w:val="22"/>
        </w:rPr>
        <w:t xml:space="preserve"> </w:t>
      </w:r>
      <w:proofErr w:type="spellStart"/>
      <w:r w:rsidRPr="008C5E7D">
        <w:rPr>
          <w:rFonts w:cs="Arial"/>
          <w:i/>
          <w:szCs w:val="22"/>
        </w:rPr>
        <w:t>verticillata</w:t>
      </w:r>
      <w:proofErr w:type="spellEnd"/>
      <w:r w:rsidRPr="00F66C7A">
        <w:rPr>
          <w:rFonts w:cs="Arial"/>
          <w:szCs w:val="22"/>
        </w:rPr>
        <w:t xml:space="preserve"> and </w:t>
      </w:r>
      <w:r w:rsidRPr="008C5E7D">
        <w:rPr>
          <w:rFonts w:cs="Arial"/>
          <w:i/>
          <w:szCs w:val="22"/>
        </w:rPr>
        <w:t xml:space="preserve">Banksia </w:t>
      </w:r>
      <w:proofErr w:type="spellStart"/>
      <w:r w:rsidRPr="008C5E7D">
        <w:rPr>
          <w:rFonts w:cs="Arial"/>
          <w:i/>
          <w:szCs w:val="22"/>
        </w:rPr>
        <w:t>marginata</w:t>
      </w:r>
      <w:proofErr w:type="spellEnd"/>
      <w:r w:rsidRPr="00F66C7A">
        <w:rPr>
          <w:rFonts w:cs="Arial"/>
          <w:szCs w:val="22"/>
        </w:rPr>
        <w:t xml:space="preserve"> (Hoddle 1839, Kearney 1853)). This stratum is now essentially absent.  It was probably lost to timber-gathering, inappropriate fire regimes and browsing by livestock (</w:t>
      </w:r>
      <w:proofErr w:type="spellStart"/>
      <w:r w:rsidRPr="00F66C7A">
        <w:rPr>
          <w:rFonts w:cs="Arial"/>
          <w:szCs w:val="22"/>
        </w:rPr>
        <w:t>Beardsell</w:t>
      </w:r>
      <w:proofErr w:type="spellEnd"/>
      <w:r w:rsidRPr="00F66C7A">
        <w:rPr>
          <w:rFonts w:cs="Arial"/>
          <w:szCs w:val="22"/>
        </w:rPr>
        <w:t xml:space="preserve"> 1997; </w:t>
      </w:r>
      <w:proofErr w:type="spellStart"/>
      <w:r w:rsidRPr="00F66C7A">
        <w:rPr>
          <w:rFonts w:cs="Arial"/>
          <w:szCs w:val="22"/>
        </w:rPr>
        <w:t>Hateley</w:t>
      </w:r>
      <w:proofErr w:type="spellEnd"/>
      <w:r w:rsidRPr="00F66C7A">
        <w:rPr>
          <w:rFonts w:cs="Arial"/>
          <w:szCs w:val="22"/>
        </w:rPr>
        <w:t xml:space="preserve"> 2010; Howitt 1855).</w:t>
      </w:r>
    </w:p>
    <w:p w:rsidR="00F66C7A" w:rsidRPr="00F66C7A" w:rsidRDefault="00F66C7A" w:rsidP="00F66C7A">
      <w:pPr>
        <w:spacing w:afterLines="113" w:after="271" w:line="240" w:lineRule="atLeast"/>
        <w:rPr>
          <w:rFonts w:cs="Arial"/>
          <w:szCs w:val="22"/>
        </w:rPr>
      </w:pPr>
      <w:r w:rsidRPr="00F66C7A">
        <w:rPr>
          <w:rFonts w:cs="Arial"/>
          <w:szCs w:val="22"/>
        </w:rPr>
        <w:t xml:space="preserve">Agricultural settlement brought about significant changes in the management of this community, leaving significant legacies that affect current management.  These changes and legacies are summarised below:  </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Grazing by livestock has altered the biological composition of the ecosystem, and the properties of the soil (</w:t>
      </w:r>
      <w:proofErr w:type="spellStart"/>
      <w:r w:rsidRPr="00F66C7A">
        <w:rPr>
          <w:rFonts w:cs="Arial"/>
          <w:szCs w:val="22"/>
        </w:rPr>
        <w:t>Dorrough</w:t>
      </w:r>
      <w:proofErr w:type="spellEnd"/>
      <w:r w:rsidRPr="00F66C7A">
        <w:rPr>
          <w:rFonts w:cs="Arial"/>
          <w:szCs w:val="22"/>
        </w:rPr>
        <w:t xml:space="preserve"> et al. 2004; Lunt et al. 2007). The changes involve soil compaction, shifts in soil nutrients, loss of grazing-sensitive species (such as tall native herbs), reduced eucalypt recruitment and altered competitive interactions which favour some groups of exotics (notably annuals).</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 xml:space="preserve">Introduced plants have displaced native species, often as a consequence of nutrient changes and disturbance (McLaren et al. 1998).  This is evident in the ground layer, where perhaps the most conspicuous exotic element being the grasses.  The most common exotic grasses are species belonging to the genera </w:t>
      </w:r>
      <w:proofErr w:type="spellStart"/>
      <w:r w:rsidRPr="008C5E7D">
        <w:rPr>
          <w:rFonts w:cs="Arial"/>
          <w:i/>
          <w:szCs w:val="22"/>
        </w:rPr>
        <w:t>Anthoxanthum</w:t>
      </w:r>
      <w:proofErr w:type="spellEnd"/>
      <w:r w:rsidRPr="00F66C7A">
        <w:rPr>
          <w:rFonts w:cs="Arial"/>
          <w:szCs w:val="22"/>
        </w:rPr>
        <w:t xml:space="preserve">, </w:t>
      </w:r>
      <w:proofErr w:type="spellStart"/>
      <w:r w:rsidRPr="008C5E7D">
        <w:rPr>
          <w:rFonts w:cs="Arial"/>
          <w:i/>
          <w:szCs w:val="22"/>
        </w:rPr>
        <w:t>Briza</w:t>
      </w:r>
      <w:proofErr w:type="spellEnd"/>
      <w:r w:rsidRPr="00F66C7A">
        <w:rPr>
          <w:rFonts w:cs="Arial"/>
          <w:szCs w:val="22"/>
        </w:rPr>
        <w:t xml:space="preserve">, </w:t>
      </w:r>
      <w:proofErr w:type="spellStart"/>
      <w:r w:rsidRPr="008C5E7D">
        <w:rPr>
          <w:rFonts w:cs="Arial"/>
          <w:i/>
          <w:szCs w:val="22"/>
        </w:rPr>
        <w:t>Bromus</w:t>
      </w:r>
      <w:proofErr w:type="spellEnd"/>
      <w:r w:rsidRPr="00F66C7A">
        <w:rPr>
          <w:rFonts w:cs="Arial"/>
          <w:szCs w:val="22"/>
        </w:rPr>
        <w:t xml:space="preserve">, </w:t>
      </w:r>
      <w:proofErr w:type="spellStart"/>
      <w:r w:rsidRPr="008C5E7D">
        <w:rPr>
          <w:rFonts w:cs="Arial"/>
          <w:i/>
          <w:szCs w:val="22"/>
        </w:rPr>
        <w:t>Ehrharta</w:t>
      </w:r>
      <w:proofErr w:type="spellEnd"/>
      <w:r w:rsidRPr="00F66C7A">
        <w:rPr>
          <w:rFonts w:cs="Arial"/>
          <w:szCs w:val="22"/>
        </w:rPr>
        <w:t xml:space="preserve">, </w:t>
      </w:r>
      <w:r w:rsidRPr="008C5E7D">
        <w:rPr>
          <w:rFonts w:cs="Arial"/>
          <w:i/>
          <w:szCs w:val="22"/>
        </w:rPr>
        <w:t>Paspalum</w:t>
      </w:r>
      <w:r w:rsidRPr="00F66C7A">
        <w:rPr>
          <w:rFonts w:cs="Arial"/>
          <w:szCs w:val="22"/>
        </w:rPr>
        <w:t xml:space="preserve">, </w:t>
      </w:r>
      <w:r w:rsidRPr="008C5E7D">
        <w:rPr>
          <w:rFonts w:cs="Arial"/>
          <w:i/>
          <w:szCs w:val="22"/>
        </w:rPr>
        <w:t>Phalaris</w:t>
      </w:r>
      <w:r w:rsidRPr="00F66C7A">
        <w:rPr>
          <w:rFonts w:cs="Arial"/>
          <w:szCs w:val="22"/>
        </w:rPr>
        <w:t xml:space="preserve">, </w:t>
      </w:r>
      <w:proofErr w:type="spellStart"/>
      <w:r w:rsidRPr="008C5E7D">
        <w:rPr>
          <w:rFonts w:cs="Arial"/>
          <w:i/>
          <w:szCs w:val="22"/>
        </w:rPr>
        <w:t>Dactylus</w:t>
      </w:r>
      <w:proofErr w:type="spellEnd"/>
      <w:r w:rsidRPr="00F66C7A">
        <w:rPr>
          <w:rFonts w:cs="Arial"/>
          <w:szCs w:val="22"/>
        </w:rPr>
        <w:t xml:space="preserve">, </w:t>
      </w:r>
      <w:proofErr w:type="spellStart"/>
      <w:r w:rsidRPr="008C5E7D">
        <w:rPr>
          <w:rFonts w:cs="Arial"/>
          <w:i/>
          <w:szCs w:val="22"/>
        </w:rPr>
        <w:t>Nassella</w:t>
      </w:r>
      <w:proofErr w:type="spellEnd"/>
      <w:r w:rsidRPr="00F66C7A">
        <w:rPr>
          <w:rFonts w:cs="Arial"/>
          <w:szCs w:val="22"/>
        </w:rPr>
        <w:t xml:space="preserve"> and </w:t>
      </w:r>
      <w:proofErr w:type="spellStart"/>
      <w:r w:rsidRPr="008C5E7D">
        <w:rPr>
          <w:rFonts w:cs="Arial"/>
          <w:i/>
          <w:szCs w:val="22"/>
        </w:rPr>
        <w:t>Vulpia</w:t>
      </w:r>
      <w:proofErr w:type="spellEnd"/>
      <w:r w:rsidRPr="00F66C7A">
        <w:rPr>
          <w:rFonts w:cs="Arial"/>
          <w:szCs w:val="22"/>
        </w:rPr>
        <w:t xml:space="preserve">.  After the grasses, the most prominent exotic species in the ground-layer are members of the </w:t>
      </w:r>
      <w:proofErr w:type="spellStart"/>
      <w:r w:rsidRPr="00F66C7A">
        <w:rPr>
          <w:rFonts w:cs="Arial"/>
          <w:szCs w:val="22"/>
        </w:rPr>
        <w:t>Asteraceae</w:t>
      </w:r>
      <w:proofErr w:type="spellEnd"/>
      <w:r w:rsidRPr="00F66C7A">
        <w:rPr>
          <w:rFonts w:cs="Arial"/>
          <w:szCs w:val="22"/>
        </w:rPr>
        <w:t xml:space="preserve"> (daises; including many thistles) and </w:t>
      </w:r>
      <w:proofErr w:type="spellStart"/>
      <w:r w:rsidRPr="00F66C7A">
        <w:rPr>
          <w:rFonts w:cs="Arial"/>
          <w:szCs w:val="22"/>
        </w:rPr>
        <w:t>Brassicaceae</w:t>
      </w:r>
      <w:proofErr w:type="spellEnd"/>
      <w:r w:rsidRPr="00F66C7A">
        <w:rPr>
          <w:rFonts w:cs="Arial"/>
          <w:szCs w:val="22"/>
        </w:rPr>
        <w:t xml:space="preserve">.  Woody exotics are also prominent, including members of the genera </w:t>
      </w:r>
      <w:proofErr w:type="spellStart"/>
      <w:r w:rsidRPr="008C5E7D">
        <w:rPr>
          <w:rFonts w:cs="Arial"/>
          <w:i/>
          <w:szCs w:val="22"/>
        </w:rPr>
        <w:t>Cytisus</w:t>
      </w:r>
      <w:proofErr w:type="spellEnd"/>
      <w:r w:rsidRPr="00F66C7A">
        <w:rPr>
          <w:rFonts w:cs="Arial"/>
          <w:szCs w:val="22"/>
        </w:rPr>
        <w:t xml:space="preserve">, </w:t>
      </w:r>
      <w:proofErr w:type="spellStart"/>
      <w:r w:rsidRPr="008C5E7D">
        <w:rPr>
          <w:rFonts w:cs="Arial"/>
          <w:i/>
          <w:szCs w:val="22"/>
        </w:rPr>
        <w:t>Lycium</w:t>
      </w:r>
      <w:proofErr w:type="spellEnd"/>
      <w:r w:rsidRPr="00F66C7A">
        <w:rPr>
          <w:rFonts w:cs="Arial"/>
          <w:szCs w:val="22"/>
        </w:rPr>
        <w:t xml:space="preserve">, </w:t>
      </w:r>
      <w:r w:rsidRPr="008C5E7D">
        <w:rPr>
          <w:rFonts w:cs="Arial"/>
          <w:i/>
          <w:szCs w:val="22"/>
        </w:rPr>
        <w:t xml:space="preserve">Rosa </w:t>
      </w:r>
      <w:r w:rsidRPr="00F66C7A">
        <w:rPr>
          <w:rFonts w:cs="Arial"/>
          <w:szCs w:val="22"/>
        </w:rPr>
        <w:t xml:space="preserve">and </w:t>
      </w:r>
      <w:proofErr w:type="spellStart"/>
      <w:r w:rsidRPr="008C5E7D">
        <w:rPr>
          <w:rFonts w:cs="Arial"/>
          <w:i/>
          <w:szCs w:val="22"/>
        </w:rPr>
        <w:t>Ulex</w:t>
      </w:r>
      <w:proofErr w:type="spellEnd"/>
      <w:r w:rsidRPr="00F66C7A">
        <w:rPr>
          <w:rFonts w:cs="Arial"/>
          <w:szCs w:val="22"/>
        </w:rPr>
        <w:t>.</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 xml:space="preserve">The middle-storey of shrubs and small trees has been </w:t>
      </w:r>
      <w:r w:rsidR="008C5E7D">
        <w:rPr>
          <w:rFonts w:cs="Arial"/>
          <w:szCs w:val="22"/>
        </w:rPr>
        <w:t>almost entirely removed, as a result (presumably) of livestock grazing, changed fire-wood regimes and timber-gathering.  This has removed a number of important ecological resources, including seeds and cones (</w:t>
      </w:r>
      <w:r w:rsidR="008C5E7D" w:rsidRPr="008C5E7D">
        <w:rPr>
          <w:rFonts w:cs="Arial"/>
          <w:i/>
          <w:szCs w:val="22"/>
        </w:rPr>
        <w:t>Banksia</w:t>
      </w:r>
      <w:r w:rsidR="008C5E7D">
        <w:rPr>
          <w:rFonts w:cs="Arial"/>
          <w:szCs w:val="22"/>
        </w:rPr>
        <w:t xml:space="preserve"> and </w:t>
      </w:r>
      <w:proofErr w:type="spellStart"/>
      <w:r w:rsidR="008C5E7D" w:rsidRPr="008C5E7D">
        <w:rPr>
          <w:rFonts w:cs="Arial"/>
          <w:i/>
          <w:szCs w:val="22"/>
        </w:rPr>
        <w:t>Allocasuarina</w:t>
      </w:r>
      <w:proofErr w:type="spellEnd"/>
      <w:r w:rsidR="008C5E7D">
        <w:rPr>
          <w:rFonts w:cs="Arial"/>
          <w:szCs w:val="22"/>
        </w:rPr>
        <w:t>), sugary exudates (</w:t>
      </w:r>
      <w:r w:rsidR="008C5E7D" w:rsidRPr="008C5E7D">
        <w:rPr>
          <w:rFonts w:cs="Arial"/>
          <w:i/>
          <w:szCs w:val="22"/>
        </w:rPr>
        <w:t>Acacia</w:t>
      </w:r>
      <w:r w:rsidR="008C5E7D">
        <w:rPr>
          <w:rFonts w:cs="Arial"/>
          <w:szCs w:val="22"/>
        </w:rPr>
        <w:t>) and mid-level shelter.</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Some areas have been used for cropping.  This involves turning the soil, removing rocks, and usually adding fertilisers (increasing, particularly, phosphate levels). Rocks were also removed from the plains and used to build dry stone walls.</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Mature trees, including dead ‘stags’, were often removed for firewood (Howitt 1855).  This has removed or reduced many habitat elements, such as hollows, which are fundamentally important for birds and mammals in eucalypt woodlands(Bennett et al. 1994).</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Fragmentation of the community into small patches of more-or-less intact GEW in a matrix of vegetation composed of exotic species has presumably impacted the ecology of the system; as it has for other Eucalyptus woodlands (Watson et al. 2003).  The effects of fragmentation include loss of habitat area for many species; reductions in gene flow between patches, and increased ‘edges’ around the remaining patches, which leave them susceptible to degrading processes such as invasion by exotic species.  One of the few studies that have investigated GEW found that levels of weed invasion were related to the degree of urbanisation in the surrounding matrix (</w:t>
      </w:r>
      <w:proofErr w:type="spellStart"/>
      <w:r w:rsidRPr="00F66C7A">
        <w:rPr>
          <w:rFonts w:cs="Arial"/>
          <w:szCs w:val="22"/>
        </w:rPr>
        <w:t>Hahs</w:t>
      </w:r>
      <w:proofErr w:type="spellEnd"/>
      <w:r w:rsidRPr="00F66C7A">
        <w:rPr>
          <w:rFonts w:cs="Arial"/>
          <w:szCs w:val="22"/>
        </w:rPr>
        <w:t xml:space="preserve"> and McDonnell, 2007).  This same study found that native plant species composition was, however, </w:t>
      </w:r>
      <w:r w:rsidRPr="00F66C7A">
        <w:rPr>
          <w:rFonts w:cs="Arial"/>
          <w:szCs w:val="22"/>
        </w:rPr>
        <w:lastRenderedPageBreak/>
        <w:t>relatively little influenced by fragment size or context.  This suggests that native species can persist in small fragments for substantial periods of time, and that the effects of fragmentation may play out over long time periods.</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 xml:space="preserve">Introduced animals have displaced or preyed on native animals, leading to local (and absolute) extinctions. </w:t>
      </w:r>
    </w:p>
    <w:p w:rsidR="00F66C7A" w:rsidRPr="00F66C7A" w:rsidRDefault="00F66C7A" w:rsidP="00F66C7A">
      <w:pPr>
        <w:pStyle w:val="ListParagraph"/>
        <w:numPr>
          <w:ilvl w:val="0"/>
          <w:numId w:val="35"/>
        </w:numPr>
        <w:spacing w:afterLines="113" w:after="271" w:line="240" w:lineRule="atLeast"/>
        <w:contextualSpacing w:val="0"/>
        <w:rPr>
          <w:rFonts w:cs="Arial"/>
          <w:szCs w:val="22"/>
        </w:rPr>
      </w:pPr>
      <w:r w:rsidRPr="00F66C7A">
        <w:rPr>
          <w:rFonts w:cs="Arial"/>
          <w:szCs w:val="22"/>
        </w:rPr>
        <w:t>Fire regimes presumably changed after colonisation; but the nature of these changes are not well known. Aboriginal fire regimes are essentially un-documented, but it is likely that intense and extensive fires may have been used to ‘clear out’ country by early settlers, while a regime of fire suppression has dominated for over a century.</w:t>
      </w:r>
    </w:p>
    <w:p w:rsidR="00F66C7A" w:rsidRPr="00F66C7A" w:rsidRDefault="00F66C7A" w:rsidP="00F66C7A">
      <w:pPr>
        <w:spacing w:afterLines="113" w:after="271" w:line="240" w:lineRule="atLeast"/>
        <w:rPr>
          <w:rFonts w:cs="Arial"/>
          <w:szCs w:val="22"/>
        </w:rPr>
      </w:pPr>
      <w:r w:rsidRPr="00F66C7A">
        <w:rPr>
          <w:rFonts w:cs="Arial"/>
          <w:szCs w:val="22"/>
        </w:rPr>
        <w:t>Land use continues to change, and all of the factors above remain threats. In addition to these factors, ecological ‘debts’ incurred by past land uses continue to threaten this community. These may result in the extinction of native species as a result of small population sizes and insufficient habitat area or quality.</w:t>
      </w:r>
    </w:p>
    <w:p w:rsidR="00F66C7A" w:rsidRDefault="00F66C7A" w:rsidP="008C5E7D">
      <w:pPr>
        <w:pStyle w:val="HB"/>
      </w:pPr>
      <w:bookmarkStart w:id="7" w:name="_Toc443044140"/>
      <w:r>
        <w:t>Key Performance Indicators for GEW</w:t>
      </w:r>
      <w:bookmarkEnd w:id="7"/>
    </w:p>
    <w:p w:rsidR="00F66C7A" w:rsidRPr="008C5E7D" w:rsidRDefault="00F66C7A" w:rsidP="008C5E7D">
      <w:pPr>
        <w:spacing w:afterLines="113" w:after="271" w:line="240" w:lineRule="atLeast"/>
        <w:rPr>
          <w:rFonts w:cs="Arial"/>
          <w:szCs w:val="22"/>
        </w:rPr>
      </w:pPr>
      <w:r w:rsidRPr="008C5E7D">
        <w:rPr>
          <w:rFonts w:cs="Arial"/>
          <w:szCs w:val="22"/>
        </w:rPr>
        <w:t>The KPIs define how management progress will be measured and demonstrated for GEW.  Thus, the KPIs reflect the variables that are valued in the GEW ecosystem, and are thus related to the quality of GEW.  The KPIs are listed below, rephrased from DELWP (2015a) to include the ‘target’, and assigned numbers for ease of reference in this report:</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Cover of native perennial herbs remains above the baseline</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Diversity of native perennial herbs remains above the baseline</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Cover of target grass species (</w:t>
      </w:r>
      <w:proofErr w:type="spellStart"/>
      <w:r w:rsidRPr="008C5E7D">
        <w:rPr>
          <w:rFonts w:cs="Arial"/>
          <w:i/>
          <w:szCs w:val="22"/>
        </w:rPr>
        <w:t>Themeda</w:t>
      </w:r>
      <w:proofErr w:type="spellEnd"/>
      <w:r w:rsidRPr="008C5E7D">
        <w:rPr>
          <w:rFonts w:cs="Arial"/>
          <w:szCs w:val="22"/>
        </w:rPr>
        <w:t xml:space="preserve">, </w:t>
      </w:r>
      <w:proofErr w:type="spellStart"/>
      <w:r w:rsidRPr="008C5E7D">
        <w:rPr>
          <w:rFonts w:cs="Arial"/>
          <w:i/>
          <w:szCs w:val="22"/>
        </w:rPr>
        <w:t>Poa</w:t>
      </w:r>
      <w:proofErr w:type="spellEnd"/>
      <w:r w:rsidRPr="008C5E7D">
        <w:rPr>
          <w:rFonts w:cs="Arial"/>
          <w:szCs w:val="22"/>
        </w:rPr>
        <w:t xml:space="preserve">, </w:t>
      </w:r>
      <w:proofErr w:type="spellStart"/>
      <w:r w:rsidRPr="008C5E7D">
        <w:rPr>
          <w:rFonts w:cs="Arial"/>
          <w:i/>
          <w:szCs w:val="22"/>
        </w:rPr>
        <w:t>Austrostipa</w:t>
      </w:r>
      <w:proofErr w:type="spellEnd"/>
      <w:r w:rsidRPr="008C5E7D">
        <w:rPr>
          <w:rFonts w:cs="Arial"/>
          <w:i/>
          <w:szCs w:val="22"/>
        </w:rPr>
        <w:t xml:space="preserve"> </w:t>
      </w:r>
      <w:proofErr w:type="spellStart"/>
      <w:r w:rsidRPr="008C5E7D">
        <w:rPr>
          <w:rFonts w:cs="Arial"/>
          <w:i/>
          <w:szCs w:val="22"/>
        </w:rPr>
        <w:t>mollis</w:t>
      </w:r>
      <w:proofErr w:type="spellEnd"/>
      <w:r w:rsidRPr="008C5E7D">
        <w:rPr>
          <w:rFonts w:cs="Arial"/>
          <w:szCs w:val="22"/>
        </w:rPr>
        <w:t>) remains above the baseline</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Cover of perennial vegetation that is composed of weeds remains below the baseline</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The proportion of plots in each woodland structural category are within the acceptable ranges (see DELWP 2015a; which specifies four structural forms of GEW, and the relative area of each type which is required collectively among sites.  This KPI is aimed at ensuring structural heterogeneity)</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Zero hectares makes an undesirable transition between states (defined by a state-transition model)</w:t>
      </w:r>
    </w:p>
    <w:p w:rsidR="00F66C7A" w:rsidRPr="008C5E7D" w:rsidRDefault="00F66C7A" w:rsidP="008C5E7D">
      <w:pPr>
        <w:pStyle w:val="ListParagraph"/>
        <w:numPr>
          <w:ilvl w:val="0"/>
          <w:numId w:val="36"/>
        </w:numPr>
        <w:spacing w:afterLines="113" w:after="271" w:line="240" w:lineRule="atLeast"/>
        <w:contextualSpacing w:val="0"/>
        <w:rPr>
          <w:rFonts w:cs="Arial"/>
          <w:szCs w:val="22"/>
        </w:rPr>
      </w:pPr>
      <w:r w:rsidRPr="008C5E7D">
        <w:rPr>
          <w:rFonts w:cs="Arial"/>
          <w:szCs w:val="22"/>
        </w:rPr>
        <w:t>25 – 75% of plots in every year have some Eucalyptus recruits</w:t>
      </w:r>
    </w:p>
    <w:p w:rsidR="0085012E" w:rsidRDefault="00F66C7A" w:rsidP="008C5E7D">
      <w:pPr>
        <w:pStyle w:val="Body2"/>
        <w:spacing w:afterLines="113" w:after="271"/>
      </w:pPr>
      <w:r>
        <w:t>The KPIs were defined before the commencem</w:t>
      </w:r>
      <w:r w:rsidR="00A311B0">
        <w:t>ent of this project (DELWP 2015</w:t>
      </w:r>
      <w:r>
        <w:t xml:space="preserve">).  </w:t>
      </w:r>
      <w:r w:rsidR="00A311B0">
        <w:t>The details of how data is collected, and how baselines are calculated are described in DELWP (2015).</w:t>
      </w:r>
    </w:p>
    <w:p w:rsidR="008C5E7D" w:rsidRDefault="008C5E7D">
      <w:pPr>
        <w:rPr>
          <w:rFonts w:cs="Arial"/>
          <w:color w:val="228591"/>
          <w:sz w:val="40"/>
          <w:lang w:val="en-US"/>
        </w:rPr>
      </w:pPr>
      <w:r>
        <w:br w:type="page"/>
      </w:r>
    </w:p>
    <w:p w:rsidR="00D0758B" w:rsidRDefault="008C5E7D" w:rsidP="00D0758B">
      <w:pPr>
        <w:pStyle w:val="HA"/>
      </w:pPr>
      <w:bookmarkStart w:id="8" w:name="_Toc443044141"/>
      <w:r>
        <w:lastRenderedPageBreak/>
        <w:t>M</w:t>
      </w:r>
      <w:r w:rsidR="00D0758B">
        <w:t>ethods</w:t>
      </w:r>
      <w:bookmarkEnd w:id="8"/>
    </w:p>
    <w:p w:rsidR="008C5E7D" w:rsidRPr="0024007D" w:rsidRDefault="008C5E7D" w:rsidP="0024007D">
      <w:pPr>
        <w:pStyle w:val="HB"/>
      </w:pPr>
      <w:bookmarkStart w:id="9" w:name="_Toc443044142"/>
      <w:r w:rsidRPr="0024007D">
        <w:t>Selection of variables</w:t>
      </w:r>
      <w:bookmarkEnd w:id="9"/>
    </w:p>
    <w:p w:rsidR="008C5E7D" w:rsidRPr="0024007D" w:rsidRDefault="008C5E7D" w:rsidP="0024007D">
      <w:pPr>
        <w:spacing w:afterLines="113" w:after="271" w:line="240" w:lineRule="atLeast"/>
        <w:rPr>
          <w:rFonts w:cs="Arial"/>
          <w:szCs w:val="22"/>
        </w:rPr>
      </w:pPr>
      <w:r w:rsidRPr="0024007D">
        <w:rPr>
          <w:rFonts w:cs="Arial"/>
          <w:szCs w:val="22"/>
        </w:rPr>
        <w:t>The variables used to assess quality were selected based on the ecology of the ecosystem.  They were selected and defined so that they related to the KPIs for GEW, where relevant.  Some additional variables were selected (not obviously related to any KPI), to ensure that other elements of the ecosystem were included that were thought to be important, based on the literature (e.g. large trees, which are likely to support tree hollows; Bennett et al. 1994).  Those KPIs which only relate to heterogeneity among a group of plots (KPIs 5 and 7) or only to temporal change (KPI 6) are not directly served here by a variable, because such considerations of time and spatial pattern are outside the intent of the metric.  It is acknowledged that the variable selection process is inherently subjective.  Table 1 sets out the variables chosen, and explains the rationale for their inclusion.</w:t>
      </w:r>
    </w:p>
    <w:p w:rsidR="008C5E7D" w:rsidRPr="0024007D" w:rsidRDefault="008C5E7D" w:rsidP="0024007D">
      <w:pPr>
        <w:pStyle w:val="HB"/>
      </w:pPr>
      <w:bookmarkStart w:id="10" w:name="_Toc443044143"/>
      <w:r w:rsidRPr="0024007D">
        <w:t>Creation of synthetic sites</w:t>
      </w:r>
      <w:bookmarkEnd w:id="10"/>
    </w:p>
    <w:p w:rsidR="008C5E7D" w:rsidRPr="0024007D" w:rsidRDefault="008C5E7D" w:rsidP="0024007D">
      <w:pPr>
        <w:spacing w:afterLines="113" w:after="271" w:line="240" w:lineRule="atLeast"/>
        <w:rPr>
          <w:rFonts w:cs="Arial"/>
          <w:szCs w:val="22"/>
        </w:rPr>
      </w:pPr>
      <w:r w:rsidRPr="0024007D">
        <w:rPr>
          <w:rFonts w:cs="Arial"/>
          <w:szCs w:val="22"/>
        </w:rPr>
        <w:t xml:space="preserve">125 synthetic GEW sites were created, using the variables described in Table 1.  Each of the variables was varied systematically in relation to the others, by hand, then implausible combinations were rejected. The sum of cover values for the different vegetation components was allowed to exceed 100%, reflecting the possibility of overlapping foliage.  The synthetic sites were represented by text descriptions on paper cards (Figure 2). </w:t>
      </w:r>
    </w:p>
    <w:p w:rsidR="008C5E7D" w:rsidRPr="0024007D" w:rsidRDefault="008C5E7D" w:rsidP="0024007D">
      <w:pPr>
        <w:spacing w:afterLines="113" w:after="271" w:line="240" w:lineRule="atLeast"/>
        <w:rPr>
          <w:rFonts w:cs="Arial"/>
          <w:szCs w:val="22"/>
        </w:rPr>
      </w:pPr>
      <w:r w:rsidRPr="0024007D">
        <w:rPr>
          <w:rFonts w:cs="Arial"/>
          <w:szCs w:val="22"/>
        </w:rPr>
        <w:t>It is important to note that some sites represented places that would once have been the GEW community, but no longer conform to the community definition (TSSC 2008).  Examples include sites with weed levels that exceed the thresholds in the listing.  This was intentional, as it is expected that the resultant condition metric will perform on all areas of current or former (and hence restorable) GEW.</w:t>
      </w:r>
    </w:p>
    <w:p w:rsidR="008C5E7D" w:rsidRDefault="008C5E7D" w:rsidP="008C5E7D">
      <w:pPr>
        <w:spacing w:line="360" w:lineRule="auto"/>
        <w:rPr>
          <w:b/>
          <w:sz w:val="20"/>
          <w:szCs w:val="20"/>
        </w:rPr>
      </w:pPr>
    </w:p>
    <w:p w:rsidR="008C5E7D" w:rsidRDefault="008C5E7D" w:rsidP="008C5E7D">
      <w:pPr>
        <w:rPr>
          <w:b/>
          <w:sz w:val="20"/>
          <w:szCs w:val="20"/>
        </w:rPr>
      </w:pPr>
      <w:r>
        <w:rPr>
          <w:b/>
          <w:sz w:val="20"/>
          <w:szCs w:val="20"/>
        </w:rPr>
        <w:br w:type="page"/>
      </w:r>
    </w:p>
    <w:p w:rsidR="008C5E7D" w:rsidRDefault="008C5E7D" w:rsidP="008C5E7D">
      <w:pPr>
        <w:rPr>
          <w:rFonts w:cs="Arial"/>
          <w:b/>
          <w:color w:val="404040"/>
          <w:sz w:val="20"/>
          <w:szCs w:val="14"/>
        </w:rPr>
      </w:pPr>
      <w:r w:rsidRPr="0024007D">
        <w:rPr>
          <w:rFonts w:cs="Arial"/>
          <w:b/>
          <w:color w:val="404040"/>
          <w:sz w:val="20"/>
          <w:szCs w:val="14"/>
        </w:rPr>
        <w:lastRenderedPageBreak/>
        <w:t>Table 1.  The variables selected for use in the GEW quality metric, and the reasons for their inclusion.  Indirect links to KPIs are bracketed.  All cover values are percentages.</w:t>
      </w:r>
    </w:p>
    <w:p w:rsidR="002628D6" w:rsidRPr="0024007D" w:rsidRDefault="002628D6" w:rsidP="002628D6">
      <w:pPr>
        <w:rPr>
          <w:rFonts w:cs="Arial"/>
          <w:b/>
          <w:color w:val="404040"/>
          <w:sz w:val="20"/>
          <w:szCs w:val="14"/>
        </w:rPr>
      </w:pPr>
      <w:bookmarkStart w:id="11" w:name="_Toc443044144"/>
    </w:p>
    <w:tbl>
      <w:tblPr>
        <w:tblStyle w:val="TableGrid"/>
        <w:tblW w:w="10031" w:type="dxa"/>
        <w:tblLook w:val="04A0" w:firstRow="1" w:lastRow="0" w:firstColumn="1" w:lastColumn="0" w:noHBand="0" w:noVBand="1"/>
      </w:tblPr>
      <w:tblGrid>
        <w:gridCol w:w="1951"/>
        <w:gridCol w:w="7229"/>
        <w:gridCol w:w="851"/>
      </w:tblGrid>
      <w:tr w:rsidR="002628D6" w:rsidRPr="0024007D" w:rsidTr="0012196A">
        <w:tc>
          <w:tcPr>
            <w:tcW w:w="1951" w:type="dxa"/>
            <w:shd w:val="clear" w:color="auto" w:fill="31849B" w:themeFill="accent5" w:themeFillShade="BF"/>
          </w:tcPr>
          <w:p w:rsidR="002628D6" w:rsidRPr="0024007D" w:rsidRDefault="002628D6" w:rsidP="0012196A">
            <w:pPr>
              <w:spacing w:line="360" w:lineRule="auto"/>
              <w:jc w:val="center"/>
              <w:rPr>
                <w:b/>
                <w:color w:val="FFFFFF" w:themeColor="background1"/>
                <w:sz w:val="28"/>
                <w:szCs w:val="28"/>
              </w:rPr>
            </w:pPr>
            <w:r w:rsidRPr="0024007D">
              <w:rPr>
                <w:b/>
                <w:color w:val="FFFFFF" w:themeColor="background1"/>
                <w:sz w:val="28"/>
                <w:szCs w:val="28"/>
              </w:rPr>
              <w:t>Variable</w:t>
            </w:r>
          </w:p>
        </w:tc>
        <w:tc>
          <w:tcPr>
            <w:tcW w:w="7229" w:type="dxa"/>
            <w:shd w:val="clear" w:color="auto" w:fill="31849B" w:themeFill="accent5" w:themeFillShade="BF"/>
          </w:tcPr>
          <w:p w:rsidR="002628D6" w:rsidRPr="0024007D" w:rsidRDefault="002628D6" w:rsidP="0012196A">
            <w:pPr>
              <w:spacing w:line="360" w:lineRule="auto"/>
              <w:rPr>
                <w:b/>
                <w:color w:val="FFFFFF" w:themeColor="background1"/>
                <w:sz w:val="28"/>
                <w:szCs w:val="28"/>
              </w:rPr>
            </w:pPr>
            <w:r>
              <w:rPr>
                <w:b/>
                <w:color w:val="FFFFFF" w:themeColor="background1"/>
                <w:sz w:val="28"/>
                <w:szCs w:val="28"/>
              </w:rPr>
              <w:t xml:space="preserve">  Justification</w:t>
            </w:r>
            <w:r w:rsidRPr="0024007D">
              <w:rPr>
                <w:b/>
                <w:color w:val="FFFFFF" w:themeColor="background1"/>
                <w:sz w:val="28"/>
                <w:szCs w:val="28"/>
              </w:rPr>
              <w:t xml:space="preserve"> for inclusion</w:t>
            </w:r>
          </w:p>
        </w:tc>
        <w:tc>
          <w:tcPr>
            <w:tcW w:w="851" w:type="dxa"/>
            <w:shd w:val="clear" w:color="auto" w:fill="31849B" w:themeFill="accent5" w:themeFillShade="BF"/>
          </w:tcPr>
          <w:p w:rsidR="002628D6" w:rsidRPr="0024007D" w:rsidRDefault="002628D6" w:rsidP="0012196A">
            <w:pPr>
              <w:jc w:val="center"/>
              <w:rPr>
                <w:b/>
                <w:color w:val="FFFFFF" w:themeColor="background1"/>
                <w:sz w:val="28"/>
                <w:szCs w:val="28"/>
              </w:rPr>
            </w:pPr>
            <w:r w:rsidRPr="0024007D">
              <w:rPr>
                <w:b/>
                <w:color w:val="FFFFFF" w:themeColor="background1"/>
                <w:sz w:val="28"/>
                <w:szCs w:val="28"/>
              </w:rPr>
              <w:t>KPI</w:t>
            </w:r>
          </w:p>
        </w:tc>
      </w:tr>
      <w:tr w:rsidR="002628D6" w:rsidRPr="0024007D" w:rsidTr="0012196A">
        <w:trPr>
          <w:trHeight w:val="315"/>
        </w:trPr>
        <w:tc>
          <w:tcPr>
            <w:tcW w:w="1951" w:type="dxa"/>
            <w:noWrap/>
            <w:hideMark/>
          </w:tcPr>
          <w:p w:rsidR="002628D6" w:rsidRPr="00E403F7" w:rsidRDefault="00E403F7" w:rsidP="00E403F7">
            <w:pPr>
              <w:rPr>
                <w:color w:val="000000"/>
                <w:sz w:val="20"/>
                <w:szCs w:val="20"/>
              </w:rPr>
            </w:pPr>
            <w:r>
              <w:rPr>
                <w:color w:val="000000"/>
                <w:sz w:val="20"/>
                <w:szCs w:val="20"/>
              </w:rPr>
              <w:t>1.</w:t>
            </w:r>
            <w:r w:rsidR="002628D6" w:rsidRPr="00E403F7">
              <w:rPr>
                <w:color w:val="000000"/>
                <w:sz w:val="20"/>
                <w:szCs w:val="20"/>
              </w:rPr>
              <w:t xml:space="preserve">Cover of </w:t>
            </w:r>
            <w:r w:rsidR="002628D6" w:rsidRPr="00E403F7">
              <w:rPr>
                <w:i/>
                <w:color w:val="000000"/>
                <w:sz w:val="20"/>
                <w:szCs w:val="20"/>
              </w:rPr>
              <w:t xml:space="preserve">Eucalyptus </w:t>
            </w:r>
          </w:p>
        </w:tc>
        <w:tc>
          <w:tcPr>
            <w:tcW w:w="7229" w:type="dxa"/>
          </w:tcPr>
          <w:p w:rsidR="002628D6" w:rsidRDefault="002628D6" w:rsidP="0012196A">
            <w:pPr>
              <w:rPr>
                <w:color w:val="000000"/>
                <w:sz w:val="20"/>
                <w:szCs w:val="20"/>
              </w:rPr>
            </w:pPr>
            <w:r w:rsidRPr="0024007D">
              <w:rPr>
                <w:i/>
                <w:color w:val="000000"/>
                <w:sz w:val="20"/>
                <w:szCs w:val="20"/>
              </w:rPr>
              <w:t>Eucalyptus</w:t>
            </w:r>
            <w:r w:rsidRPr="0024007D">
              <w:rPr>
                <w:color w:val="000000"/>
                <w:sz w:val="20"/>
                <w:szCs w:val="20"/>
              </w:rPr>
              <w:t xml:space="preserve"> species are the dominant trees, and a defining feature of the GEW.  Their cover is important for the integrity of the community (TSSC 2008), and KPIs 5 and 7 require that they are present.  They provide resources for animals (hollows, leaves, lerp, nectar, sap, pollen, etc.).</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(5,7)</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2.</w:t>
            </w:r>
            <w:r w:rsidR="002628D6" w:rsidRPr="0024007D">
              <w:rPr>
                <w:color w:val="000000"/>
                <w:sz w:val="20"/>
                <w:szCs w:val="20"/>
              </w:rPr>
              <w:t xml:space="preserve">Number of large trees / ha </w:t>
            </w:r>
          </w:p>
          <w:p w:rsidR="002628D6" w:rsidRPr="0024007D" w:rsidRDefault="002628D6" w:rsidP="0012196A">
            <w:pPr>
              <w:rPr>
                <w:color w:val="000000"/>
                <w:sz w:val="20"/>
                <w:szCs w:val="20"/>
              </w:rPr>
            </w:pPr>
            <w:r w:rsidRPr="0024007D">
              <w:rPr>
                <w:color w:val="000000"/>
                <w:sz w:val="20"/>
                <w:szCs w:val="20"/>
              </w:rPr>
              <w:t>(large =</w:t>
            </w:r>
            <w:r>
              <w:rPr>
                <w:color w:val="000000"/>
                <w:sz w:val="20"/>
                <w:szCs w:val="20"/>
              </w:rPr>
              <w:t xml:space="preserve">&gt;60cm </w:t>
            </w:r>
            <w:proofErr w:type="spellStart"/>
            <w:r>
              <w:rPr>
                <w:color w:val="000000"/>
                <w:sz w:val="20"/>
                <w:szCs w:val="20"/>
              </w:rPr>
              <w:t>dbh</w:t>
            </w:r>
            <w:proofErr w:type="spellEnd"/>
            <w:r w:rsidRPr="0024007D">
              <w:rPr>
                <w:color w:val="000000"/>
                <w:sz w:val="20"/>
                <w:szCs w:val="20"/>
              </w:rPr>
              <w:t>)</w:t>
            </w:r>
          </w:p>
        </w:tc>
        <w:tc>
          <w:tcPr>
            <w:tcW w:w="7229" w:type="dxa"/>
          </w:tcPr>
          <w:p w:rsidR="002628D6" w:rsidRDefault="002628D6" w:rsidP="0012196A">
            <w:pPr>
              <w:rPr>
                <w:color w:val="000000"/>
                <w:sz w:val="20"/>
                <w:szCs w:val="20"/>
              </w:rPr>
            </w:pPr>
            <w:r w:rsidRPr="0024007D">
              <w:rPr>
                <w:color w:val="000000"/>
                <w:sz w:val="20"/>
                <w:szCs w:val="20"/>
              </w:rPr>
              <w:t xml:space="preserve">Large trees (&gt;60 cm diameter at breast height, always </w:t>
            </w:r>
            <w:r w:rsidRPr="0024007D">
              <w:rPr>
                <w:i/>
                <w:color w:val="000000"/>
                <w:sz w:val="20"/>
                <w:szCs w:val="20"/>
              </w:rPr>
              <w:t>Eucalyptus</w:t>
            </w:r>
            <w:r w:rsidRPr="0024007D">
              <w:rPr>
                <w:color w:val="000000"/>
                <w:sz w:val="20"/>
                <w:szCs w:val="20"/>
              </w:rPr>
              <w:t>) provide the habitat and food values noted above, but are more likely to develop hollows (Bennett et al. 1994; Rayner et al. 2014).  They are also visually impressive, and indicative of areas which have not been cleared in the past.</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(5)</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3.</w:t>
            </w:r>
            <w:r w:rsidR="002628D6" w:rsidRPr="0024007D">
              <w:rPr>
                <w:color w:val="000000"/>
                <w:sz w:val="20"/>
                <w:szCs w:val="20"/>
              </w:rPr>
              <w:t>Cover of native shrubs, small trees (non-Eucalyptus)</w:t>
            </w:r>
          </w:p>
        </w:tc>
        <w:tc>
          <w:tcPr>
            <w:tcW w:w="7229" w:type="dxa"/>
          </w:tcPr>
          <w:p w:rsidR="002628D6" w:rsidRDefault="002628D6" w:rsidP="0012196A">
            <w:pPr>
              <w:rPr>
                <w:color w:val="000000"/>
                <w:sz w:val="20"/>
                <w:szCs w:val="20"/>
              </w:rPr>
            </w:pPr>
            <w:r w:rsidRPr="0024007D">
              <w:rPr>
                <w:color w:val="000000"/>
                <w:sz w:val="20"/>
                <w:szCs w:val="20"/>
              </w:rPr>
              <w:t xml:space="preserve">Species such as </w:t>
            </w:r>
            <w:r w:rsidRPr="0024007D">
              <w:rPr>
                <w:i/>
                <w:color w:val="000000"/>
                <w:sz w:val="20"/>
                <w:szCs w:val="20"/>
              </w:rPr>
              <w:t>Acacia</w:t>
            </w:r>
            <w:r w:rsidRPr="0024007D">
              <w:rPr>
                <w:color w:val="000000"/>
                <w:sz w:val="20"/>
                <w:szCs w:val="20"/>
              </w:rPr>
              <w:t xml:space="preserve">, </w:t>
            </w:r>
            <w:proofErr w:type="spellStart"/>
            <w:r w:rsidRPr="0024007D">
              <w:rPr>
                <w:i/>
                <w:color w:val="000000"/>
                <w:sz w:val="20"/>
                <w:szCs w:val="20"/>
              </w:rPr>
              <w:t>Allocasuarina</w:t>
            </w:r>
            <w:proofErr w:type="spellEnd"/>
            <w:r w:rsidRPr="0024007D">
              <w:rPr>
                <w:color w:val="000000"/>
                <w:sz w:val="20"/>
                <w:szCs w:val="20"/>
              </w:rPr>
              <w:t xml:space="preserve">, </w:t>
            </w:r>
            <w:r w:rsidRPr="0024007D">
              <w:rPr>
                <w:i/>
                <w:color w:val="000000"/>
                <w:sz w:val="20"/>
                <w:szCs w:val="20"/>
              </w:rPr>
              <w:t>Banksia</w:t>
            </w:r>
            <w:r w:rsidRPr="0024007D">
              <w:rPr>
                <w:color w:val="000000"/>
                <w:sz w:val="20"/>
                <w:szCs w:val="20"/>
              </w:rPr>
              <w:t xml:space="preserve">, </w:t>
            </w:r>
            <w:proofErr w:type="spellStart"/>
            <w:r w:rsidRPr="0024007D">
              <w:rPr>
                <w:i/>
                <w:color w:val="000000"/>
                <w:sz w:val="20"/>
                <w:szCs w:val="20"/>
              </w:rPr>
              <w:t>Bursaria</w:t>
            </w:r>
            <w:proofErr w:type="spellEnd"/>
            <w:r w:rsidRPr="0024007D">
              <w:rPr>
                <w:color w:val="000000"/>
                <w:sz w:val="20"/>
                <w:szCs w:val="20"/>
              </w:rPr>
              <w:t xml:space="preserve">, </w:t>
            </w:r>
            <w:proofErr w:type="spellStart"/>
            <w:r w:rsidRPr="0024007D">
              <w:rPr>
                <w:i/>
                <w:color w:val="000000"/>
                <w:sz w:val="20"/>
                <w:szCs w:val="20"/>
              </w:rPr>
              <w:t>Cassinia</w:t>
            </w:r>
            <w:proofErr w:type="spellEnd"/>
            <w:r w:rsidRPr="0024007D">
              <w:rPr>
                <w:color w:val="000000"/>
                <w:sz w:val="20"/>
                <w:szCs w:val="20"/>
              </w:rPr>
              <w:t xml:space="preserve">, </w:t>
            </w:r>
            <w:proofErr w:type="spellStart"/>
            <w:r w:rsidRPr="0024007D">
              <w:rPr>
                <w:i/>
                <w:color w:val="000000"/>
                <w:sz w:val="20"/>
                <w:szCs w:val="20"/>
              </w:rPr>
              <w:t>Exocarpus</w:t>
            </w:r>
            <w:proofErr w:type="spellEnd"/>
            <w:r w:rsidRPr="0024007D">
              <w:rPr>
                <w:color w:val="000000"/>
                <w:sz w:val="20"/>
                <w:szCs w:val="20"/>
              </w:rPr>
              <w:t xml:space="preserve"> and </w:t>
            </w:r>
            <w:proofErr w:type="spellStart"/>
            <w:r w:rsidRPr="0024007D">
              <w:rPr>
                <w:i/>
                <w:color w:val="000000"/>
                <w:sz w:val="20"/>
                <w:szCs w:val="20"/>
              </w:rPr>
              <w:t>Melicytus</w:t>
            </w:r>
            <w:proofErr w:type="spellEnd"/>
            <w:r w:rsidRPr="0024007D">
              <w:rPr>
                <w:color w:val="000000"/>
                <w:sz w:val="20"/>
                <w:szCs w:val="20"/>
              </w:rPr>
              <w:t xml:space="preserve"> provide resources for animals, including nectar, edible resins, seed cones and shelter.  This component is much depleted.</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(5)</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4.</w:t>
            </w:r>
            <w:r w:rsidR="002628D6" w:rsidRPr="0024007D">
              <w:rPr>
                <w:color w:val="000000"/>
                <w:sz w:val="20"/>
                <w:szCs w:val="20"/>
              </w:rPr>
              <w:t xml:space="preserve">Cover of </w:t>
            </w:r>
            <w:proofErr w:type="spellStart"/>
            <w:r w:rsidR="002628D6" w:rsidRPr="0024007D">
              <w:rPr>
                <w:i/>
                <w:color w:val="000000"/>
                <w:sz w:val="20"/>
                <w:szCs w:val="20"/>
              </w:rPr>
              <w:t>Themeda</w:t>
            </w:r>
            <w:proofErr w:type="spellEnd"/>
            <w:r w:rsidR="002628D6" w:rsidRPr="0024007D">
              <w:rPr>
                <w:i/>
                <w:color w:val="000000"/>
                <w:sz w:val="20"/>
                <w:szCs w:val="20"/>
              </w:rPr>
              <w:t xml:space="preserve"> </w:t>
            </w:r>
            <w:r w:rsidR="002628D6" w:rsidRPr="0024007D">
              <w:rPr>
                <w:color w:val="000000"/>
                <w:sz w:val="20"/>
                <w:szCs w:val="20"/>
              </w:rPr>
              <w:t xml:space="preserve">and/or </w:t>
            </w:r>
            <w:proofErr w:type="spellStart"/>
            <w:r w:rsidR="002628D6" w:rsidRPr="0024007D">
              <w:rPr>
                <w:i/>
                <w:color w:val="000000"/>
                <w:sz w:val="20"/>
                <w:szCs w:val="20"/>
              </w:rPr>
              <w:t>Poa</w:t>
            </w:r>
            <w:proofErr w:type="spellEnd"/>
          </w:p>
        </w:tc>
        <w:tc>
          <w:tcPr>
            <w:tcW w:w="7229" w:type="dxa"/>
          </w:tcPr>
          <w:p w:rsidR="002628D6" w:rsidRDefault="002628D6" w:rsidP="0012196A">
            <w:pPr>
              <w:rPr>
                <w:color w:val="000000"/>
                <w:sz w:val="20"/>
                <w:szCs w:val="20"/>
              </w:rPr>
            </w:pPr>
            <w:r w:rsidRPr="0024007D">
              <w:rPr>
                <w:color w:val="000000"/>
                <w:sz w:val="20"/>
                <w:szCs w:val="20"/>
              </w:rPr>
              <w:t>These species once provided much of the biomass in the understorey of GEW (</w:t>
            </w:r>
            <w:proofErr w:type="spellStart"/>
            <w:r w:rsidRPr="0024007D">
              <w:rPr>
                <w:i/>
                <w:color w:val="000000"/>
                <w:sz w:val="20"/>
                <w:szCs w:val="20"/>
              </w:rPr>
              <w:t>Themeda</w:t>
            </w:r>
            <w:proofErr w:type="spellEnd"/>
            <w:r w:rsidRPr="0024007D">
              <w:rPr>
                <w:color w:val="000000"/>
                <w:sz w:val="20"/>
                <w:szCs w:val="20"/>
              </w:rPr>
              <w:t xml:space="preserve"> and </w:t>
            </w:r>
            <w:proofErr w:type="spellStart"/>
            <w:r w:rsidRPr="0024007D">
              <w:rPr>
                <w:i/>
                <w:color w:val="000000"/>
                <w:sz w:val="20"/>
                <w:szCs w:val="20"/>
              </w:rPr>
              <w:t>Poa</w:t>
            </w:r>
            <w:proofErr w:type="spellEnd"/>
            <w:r w:rsidRPr="0024007D">
              <w:rPr>
                <w:i/>
                <w:color w:val="000000"/>
                <w:sz w:val="20"/>
                <w:szCs w:val="20"/>
              </w:rPr>
              <w:t xml:space="preserve"> </w:t>
            </w:r>
            <w:proofErr w:type="spellStart"/>
            <w:r w:rsidRPr="0024007D">
              <w:rPr>
                <w:i/>
                <w:color w:val="000000"/>
                <w:sz w:val="20"/>
                <w:szCs w:val="20"/>
              </w:rPr>
              <w:t>sieberiana</w:t>
            </w:r>
            <w:proofErr w:type="spellEnd"/>
            <w:r w:rsidRPr="0024007D">
              <w:rPr>
                <w:color w:val="000000"/>
                <w:sz w:val="20"/>
                <w:szCs w:val="20"/>
              </w:rPr>
              <w:t xml:space="preserve"> in drier areas, </w:t>
            </w:r>
            <w:proofErr w:type="spellStart"/>
            <w:r w:rsidRPr="0024007D">
              <w:rPr>
                <w:i/>
                <w:color w:val="000000"/>
                <w:sz w:val="20"/>
                <w:szCs w:val="20"/>
              </w:rPr>
              <w:t>Poa</w:t>
            </w:r>
            <w:proofErr w:type="spellEnd"/>
            <w:r w:rsidRPr="0024007D">
              <w:rPr>
                <w:i/>
                <w:color w:val="000000"/>
                <w:sz w:val="20"/>
                <w:szCs w:val="20"/>
              </w:rPr>
              <w:t xml:space="preserve"> </w:t>
            </w:r>
            <w:proofErr w:type="spellStart"/>
            <w:r w:rsidRPr="0024007D">
              <w:rPr>
                <w:i/>
                <w:color w:val="000000"/>
                <w:sz w:val="20"/>
                <w:szCs w:val="20"/>
              </w:rPr>
              <w:t>labillardierei</w:t>
            </w:r>
            <w:proofErr w:type="spellEnd"/>
            <w:r w:rsidRPr="0024007D">
              <w:rPr>
                <w:color w:val="000000"/>
                <w:sz w:val="20"/>
                <w:szCs w:val="20"/>
              </w:rPr>
              <w:t xml:space="preserve"> in moister areas and on heavier soils).  </w:t>
            </w:r>
            <w:proofErr w:type="spellStart"/>
            <w:r w:rsidRPr="0024007D">
              <w:rPr>
                <w:i/>
                <w:color w:val="000000"/>
                <w:sz w:val="20"/>
                <w:szCs w:val="20"/>
              </w:rPr>
              <w:t>Themeda</w:t>
            </w:r>
            <w:proofErr w:type="spellEnd"/>
            <w:r w:rsidRPr="0024007D">
              <w:rPr>
                <w:color w:val="000000"/>
                <w:sz w:val="20"/>
                <w:szCs w:val="20"/>
              </w:rPr>
              <w:t xml:space="preserve"> is a keystone species, which plays roles in nutrient dynamics  (Prober and Lunt 2009). These species are long-lived, large tussocks, and may competitively exclude other species.  They are relatively sensitive to grazing.  </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3</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5.</w:t>
            </w:r>
            <w:r w:rsidR="002628D6" w:rsidRPr="0024007D">
              <w:rPr>
                <w:color w:val="000000"/>
                <w:sz w:val="20"/>
                <w:szCs w:val="20"/>
              </w:rPr>
              <w:t>Cover of all native grasses (</w:t>
            </w:r>
            <w:proofErr w:type="spellStart"/>
            <w:r w:rsidR="002628D6" w:rsidRPr="0024007D">
              <w:rPr>
                <w:color w:val="000000"/>
                <w:sz w:val="20"/>
                <w:szCs w:val="20"/>
              </w:rPr>
              <w:t>Poaceae</w:t>
            </w:r>
            <w:proofErr w:type="spellEnd"/>
            <w:r w:rsidR="002628D6" w:rsidRPr="0024007D">
              <w:rPr>
                <w:color w:val="000000"/>
                <w:sz w:val="20"/>
                <w:szCs w:val="20"/>
              </w:rPr>
              <w:t>)</w:t>
            </w:r>
          </w:p>
        </w:tc>
        <w:tc>
          <w:tcPr>
            <w:tcW w:w="7229" w:type="dxa"/>
          </w:tcPr>
          <w:p w:rsidR="002628D6" w:rsidRDefault="002628D6" w:rsidP="0012196A">
            <w:pPr>
              <w:rPr>
                <w:color w:val="000000"/>
                <w:sz w:val="20"/>
                <w:szCs w:val="20"/>
              </w:rPr>
            </w:pPr>
            <w:r w:rsidRPr="0024007D">
              <w:rPr>
                <w:color w:val="000000"/>
                <w:sz w:val="20"/>
                <w:szCs w:val="20"/>
              </w:rPr>
              <w:t>Native grass species are a significant component of the native species richness (&gt;20 species), and often dominate the ground layer.  Some species are tolerant of grazing and nutrient accumulation.</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(3,4)</w:t>
            </w:r>
          </w:p>
        </w:tc>
      </w:tr>
      <w:tr w:rsidR="002628D6" w:rsidRPr="0024007D" w:rsidTr="0012196A">
        <w:trPr>
          <w:trHeight w:val="315"/>
        </w:trPr>
        <w:tc>
          <w:tcPr>
            <w:tcW w:w="1951" w:type="dxa"/>
            <w:noWrap/>
            <w:hideMark/>
          </w:tcPr>
          <w:p w:rsidR="002628D6" w:rsidRDefault="00E403F7" w:rsidP="0012196A">
            <w:pPr>
              <w:rPr>
                <w:color w:val="000000"/>
                <w:sz w:val="20"/>
                <w:szCs w:val="20"/>
              </w:rPr>
            </w:pPr>
            <w:r>
              <w:rPr>
                <w:color w:val="000000"/>
                <w:sz w:val="20"/>
                <w:szCs w:val="20"/>
              </w:rPr>
              <w:t xml:space="preserve">6.Cover </w:t>
            </w:r>
            <w:r w:rsidR="002628D6" w:rsidRPr="0024007D">
              <w:rPr>
                <w:color w:val="000000"/>
                <w:sz w:val="20"/>
                <w:szCs w:val="20"/>
              </w:rPr>
              <w:t xml:space="preserve">native forbs </w:t>
            </w:r>
          </w:p>
          <w:p w:rsidR="002628D6" w:rsidRDefault="002628D6" w:rsidP="0012196A">
            <w:pPr>
              <w:rPr>
                <w:color w:val="000000"/>
                <w:sz w:val="20"/>
                <w:szCs w:val="20"/>
              </w:rPr>
            </w:pPr>
            <w:r>
              <w:rPr>
                <w:color w:val="000000"/>
                <w:sz w:val="20"/>
                <w:szCs w:val="20"/>
              </w:rPr>
              <w:t>&amp;</w:t>
            </w:r>
          </w:p>
          <w:p w:rsidR="002628D6" w:rsidRDefault="00E403F7" w:rsidP="0012196A">
            <w:pPr>
              <w:rPr>
                <w:color w:val="000000"/>
                <w:sz w:val="20"/>
                <w:szCs w:val="20"/>
              </w:rPr>
            </w:pPr>
            <w:r>
              <w:rPr>
                <w:color w:val="000000"/>
                <w:sz w:val="20"/>
                <w:szCs w:val="20"/>
              </w:rPr>
              <w:t>7.Diversity (richness) of</w:t>
            </w:r>
            <w:r w:rsidR="002628D6" w:rsidRPr="0024007D">
              <w:rPr>
                <w:color w:val="000000"/>
                <w:sz w:val="20"/>
                <w:szCs w:val="20"/>
              </w:rPr>
              <w:t xml:space="preserve"> native forbs</w:t>
            </w:r>
          </w:p>
          <w:p w:rsidR="002628D6" w:rsidRPr="0024007D" w:rsidRDefault="002628D6" w:rsidP="0012196A">
            <w:pPr>
              <w:rPr>
                <w:color w:val="000000"/>
                <w:sz w:val="20"/>
                <w:szCs w:val="20"/>
              </w:rPr>
            </w:pPr>
            <w:r>
              <w:rPr>
                <w:color w:val="000000"/>
                <w:sz w:val="20"/>
                <w:szCs w:val="20"/>
              </w:rPr>
              <w:t>(Ordinal: none, low, medium, high)</w:t>
            </w:r>
          </w:p>
        </w:tc>
        <w:tc>
          <w:tcPr>
            <w:tcW w:w="7229" w:type="dxa"/>
          </w:tcPr>
          <w:p w:rsidR="002628D6" w:rsidRDefault="002628D6" w:rsidP="0012196A">
            <w:pPr>
              <w:rPr>
                <w:color w:val="000000"/>
                <w:sz w:val="20"/>
                <w:szCs w:val="20"/>
              </w:rPr>
            </w:pPr>
            <w:r w:rsidRPr="0024007D">
              <w:rPr>
                <w:color w:val="000000"/>
                <w:sz w:val="20"/>
                <w:szCs w:val="20"/>
              </w:rPr>
              <w:t>Most of the species richness in GEW is contributed by forbs.  Many forbs are sensitive to changes in soil nutrient status, and their identity and abundance is often related to the degree of modification by agriculture (</w:t>
            </w:r>
            <w:proofErr w:type="spellStart"/>
            <w:r w:rsidRPr="0024007D">
              <w:rPr>
                <w:color w:val="000000"/>
                <w:sz w:val="20"/>
                <w:szCs w:val="20"/>
              </w:rPr>
              <w:t>Dorrough</w:t>
            </w:r>
            <w:proofErr w:type="spellEnd"/>
            <w:r w:rsidRPr="0024007D">
              <w:rPr>
                <w:color w:val="000000"/>
                <w:sz w:val="20"/>
                <w:szCs w:val="20"/>
              </w:rPr>
              <w:t xml:space="preserve"> and </w:t>
            </w:r>
            <w:proofErr w:type="spellStart"/>
            <w:r w:rsidRPr="0024007D">
              <w:rPr>
                <w:color w:val="000000"/>
                <w:sz w:val="20"/>
                <w:szCs w:val="20"/>
              </w:rPr>
              <w:t>Scroggie</w:t>
            </w:r>
            <w:proofErr w:type="spellEnd"/>
            <w:r w:rsidRPr="0024007D">
              <w:rPr>
                <w:color w:val="000000"/>
                <w:sz w:val="20"/>
                <w:szCs w:val="20"/>
              </w:rPr>
              <w:t xml:space="preserve"> 2008; </w:t>
            </w:r>
            <w:proofErr w:type="spellStart"/>
            <w:r w:rsidRPr="0024007D">
              <w:rPr>
                <w:color w:val="000000"/>
                <w:sz w:val="20"/>
                <w:szCs w:val="20"/>
              </w:rPr>
              <w:t>Dorrough</w:t>
            </w:r>
            <w:proofErr w:type="spellEnd"/>
            <w:r w:rsidRPr="0024007D">
              <w:rPr>
                <w:color w:val="000000"/>
                <w:sz w:val="20"/>
                <w:szCs w:val="20"/>
              </w:rPr>
              <w:t xml:space="preserve"> et al. 2011).  In the similar NTG ecosystem, preference data showed that high </w:t>
            </w:r>
            <w:proofErr w:type="spellStart"/>
            <w:r w:rsidRPr="0024007D">
              <w:rPr>
                <w:color w:val="000000"/>
                <w:sz w:val="20"/>
                <w:szCs w:val="20"/>
              </w:rPr>
              <w:t>forb</w:t>
            </w:r>
            <w:proofErr w:type="spellEnd"/>
            <w:r w:rsidRPr="0024007D">
              <w:rPr>
                <w:color w:val="000000"/>
                <w:sz w:val="20"/>
                <w:szCs w:val="20"/>
              </w:rPr>
              <w:t xml:space="preserve"> cover was valued by experts (Sinclair et al. 2015).</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1</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8.</w:t>
            </w:r>
            <w:r w:rsidR="002628D6" w:rsidRPr="0024007D">
              <w:rPr>
                <w:color w:val="000000"/>
                <w:sz w:val="20"/>
                <w:szCs w:val="20"/>
              </w:rPr>
              <w:t>Cover of coarse debris</w:t>
            </w:r>
          </w:p>
        </w:tc>
        <w:tc>
          <w:tcPr>
            <w:tcW w:w="7229" w:type="dxa"/>
          </w:tcPr>
          <w:p w:rsidR="002628D6" w:rsidRDefault="002628D6" w:rsidP="0012196A">
            <w:pPr>
              <w:rPr>
                <w:color w:val="000000"/>
                <w:sz w:val="20"/>
                <w:szCs w:val="20"/>
              </w:rPr>
            </w:pPr>
            <w:r w:rsidRPr="0024007D">
              <w:rPr>
                <w:color w:val="000000"/>
                <w:sz w:val="20"/>
                <w:szCs w:val="20"/>
              </w:rPr>
              <w:t>Coarse debris provide habitat to a range of mammals, reptiles and invertebrates.  The amount of debris is related to the abundance of some native animal species (</w:t>
            </w:r>
            <w:proofErr w:type="spellStart"/>
            <w:r w:rsidRPr="0024007D">
              <w:rPr>
                <w:color w:val="000000"/>
                <w:sz w:val="20"/>
                <w:szCs w:val="20"/>
              </w:rPr>
              <w:t>MacNally</w:t>
            </w:r>
            <w:proofErr w:type="spellEnd"/>
            <w:r w:rsidRPr="0024007D">
              <w:rPr>
                <w:color w:val="000000"/>
                <w:sz w:val="20"/>
                <w:szCs w:val="20"/>
              </w:rPr>
              <w:t xml:space="preserve"> et al. 2001).  Debris also affects soil conditions for plants.</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9.</w:t>
            </w:r>
            <w:r w:rsidR="002628D6" w:rsidRPr="0024007D">
              <w:rPr>
                <w:color w:val="000000"/>
                <w:sz w:val="20"/>
                <w:szCs w:val="20"/>
              </w:rPr>
              <w:t>Cover of bare ground (including crust of non-vascular plants)</w:t>
            </w:r>
          </w:p>
        </w:tc>
        <w:tc>
          <w:tcPr>
            <w:tcW w:w="7229" w:type="dxa"/>
          </w:tcPr>
          <w:p w:rsidR="002628D6" w:rsidRDefault="002628D6" w:rsidP="0012196A">
            <w:pPr>
              <w:rPr>
                <w:color w:val="000000"/>
                <w:sz w:val="20"/>
                <w:szCs w:val="20"/>
              </w:rPr>
            </w:pPr>
            <w:r w:rsidRPr="0024007D">
              <w:rPr>
                <w:color w:val="000000"/>
                <w:sz w:val="20"/>
                <w:szCs w:val="20"/>
              </w:rPr>
              <w:t>Bare ground is necessary for the recruitment of many native plants, but may be colonized by weeds or natives.  It is presumably an important habitat element for some animals.</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w:t>
            </w:r>
          </w:p>
        </w:tc>
      </w:tr>
      <w:tr w:rsidR="002628D6" w:rsidRPr="0024007D" w:rsidTr="0012196A">
        <w:trPr>
          <w:trHeight w:val="315"/>
        </w:trPr>
        <w:tc>
          <w:tcPr>
            <w:tcW w:w="1951" w:type="dxa"/>
            <w:noWrap/>
            <w:hideMark/>
          </w:tcPr>
          <w:p w:rsidR="002628D6" w:rsidRDefault="00E403F7" w:rsidP="0012196A">
            <w:pPr>
              <w:rPr>
                <w:color w:val="000000"/>
                <w:sz w:val="20"/>
                <w:szCs w:val="20"/>
              </w:rPr>
            </w:pPr>
            <w:r>
              <w:rPr>
                <w:color w:val="000000"/>
                <w:sz w:val="20"/>
                <w:szCs w:val="20"/>
              </w:rPr>
              <w:t>10.Status of r</w:t>
            </w:r>
            <w:r w:rsidR="002628D6" w:rsidRPr="0024007D">
              <w:rPr>
                <w:color w:val="000000"/>
                <w:sz w:val="20"/>
                <w:szCs w:val="20"/>
              </w:rPr>
              <w:t>ocky substrate</w:t>
            </w:r>
          </w:p>
          <w:p w:rsidR="00E403F7" w:rsidRPr="0024007D" w:rsidRDefault="00E403F7" w:rsidP="0012196A">
            <w:pPr>
              <w:rPr>
                <w:color w:val="000000"/>
                <w:sz w:val="20"/>
                <w:szCs w:val="20"/>
              </w:rPr>
            </w:pPr>
            <w:r>
              <w:rPr>
                <w:color w:val="000000"/>
                <w:sz w:val="20"/>
                <w:szCs w:val="20"/>
              </w:rPr>
              <w:t>(binary: ‘intact’ or ‘removed for cropping’)</w:t>
            </w:r>
          </w:p>
        </w:tc>
        <w:tc>
          <w:tcPr>
            <w:tcW w:w="7229" w:type="dxa"/>
          </w:tcPr>
          <w:p w:rsidR="002628D6" w:rsidRDefault="002628D6" w:rsidP="0012196A">
            <w:pPr>
              <w:rPr>
                <w:color w:val="000000"/>
                <w:sz w:val="20"/>
                <w:szCs w:val="20"/>
              </w:rPr>
            </w:pPr>
            <w:r w:rsidRPr="0024007D">
              <w:rPr>
                <w:color w:val="000000"/>
                <w:sz w:val="20"/>
                <w:szCs w:val="20"/>
              </w:rPr>
              <w:t>Rocks usually dot the surface of the ground in GEW.  They provide microhabitats for animals and plants (shading, moisture dynamics, etc.).  They are removed when land is cultivated.</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 xml:space="preserve">11. </w:t>
            </w:r>
            <w:r w:rsidR="002628D6" w:rsidRPr="0024007D">
              <w:rPr>
                <w:color w:val="000000"/>
                <w:sz w:val="20"/>
                <w:szCs w:val="20"/>
              </w:rPr>
              <w:t>Cover of perennial exotic grasses and herbs</w:t>
            </w:r>
          </w:p>
        </w:tc>
        <w:tc>
          <w:tcPr>
            <w:tcW w:w="7229" w:type="dxa"/>
          </w:tcPr>
          <w:p w:rsidR="002628D6" w:rsidRDefault="002628D6" w:rsidP="0012196A">
            <w:pPr>
              <w:rPr>
                <w:color w:val="000000"/>
                <w:sz w:val="20"/>
                <w:szCs w:val="20"/>
              </w:rPr>
            </w:pPr>
            <w:r w:rsidRPr="0024007D">
              <w:rPr>
                <w:color w:val="000000"/>
                <w:sz w:val="20"/>
                <w:szCs w:val="20"/>
              </w:rPr>
              <w:t>These species compete with native plant species,  and some may largely exclude other species from a site (McLaren et al. 1998).  Some show growth responses to elevated</w:t>
            </w:r>
            <w:r>
              <w:rPr>
                <w:color w:val="000000"/>
                <w:sz w:val="20"/>
                <w:szCs w:val="20"/>
              </w:rPr>
              <w:t xml:space="preserve"> </w:t>
            </w:r>
            <w:r w:rsidRPr="0024007D">
              <w:rPr>
                <w:color w:val="000000"/>
                <w:sz w:val="20"/>
                <w:szCs w:val="20"/>
              </w:rPr>
              <w:t>nutrient loads and/or exposed bare ground.  Some are unpalatable and reduce agricultural returns from grazing</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4</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 xml:space="preserve">12. </w:t>
            </w:r>
            <w:r w:rsidR="002628D6" w:rsidRPr="0024007D">
              <w:rPr>
                <w:color w:val="000000"/>
                <w:sz w:val="20"/>
                <w:szCs w:val="20"/>
              </w:rPr>
              <w:t>Cover of annual exotics</w:t>
            </w:r>
          </w:p>
        </w:tc>
        <w:tc>
          <w:tcPr>
            <w:tcW w:w="7229" w:type="dxa"/>
          </w:tcPr>
          <w:p w:rsidR="002628D6" w:rsidRPr="0024007D" w:rsidRDefault="002628D6" w:rsidP="0012196A">
            <w:pPr>
              <w:rPr>
                <w:color w:val="000000"/>
                <w:sz w:val="20"/>
                <w:szCs w:val="20"/>
              </w:rPr>
            </w:pPr>
            <w:r w:rsidRPr="0024007D">
              <w:rPr>
                <w:color w:val="000000"/>
                <w:sz w:val="20"/>
                <w:szCs w:val="20"/>
              </w:rPr>
              <w:t>These species compete with native species (particularly native herbs, over the cooler months). Many show a growt</w:t>
            </w:r>
            <w:r w:rsidR="0012196A">
              <w:rPr>
                <w:color w:val="000000"/>
                <w:sz w:val="20"/>
                <w:szCs w:val="20"/>
              </w:rPr>
              <w:t>h response to elevated nutrient</w:t>
            </w:r>
            <w:r w:rsidRPr="0024007D">
              <w:rPr>
                <w:color w:val="000000"/>
                <w:sz w:val="20"/>
                <w:szCs w:val="20"/>
              </w:rPr>
              <w:t>s</w:t>
            </w:r>
          </w:p>
          <w:p w:rsidR="002628D6" w:rsidRDefault="002628D6" w:rsidP="0012196A">
            <w:pPr>
              <w:rPr>
                <w:color w:val="000000"/>
                <w:sz w:val="20"/>
                <w:szCs w:val="20"/>
              </w:rPr>
            </w:pPr>
            <w:r w:rsidRPr="0024007D">
              <w:rPr>
                <w:color w:val="000000"/>
                <w:sz w:val="20"/>
                <w:szCs w:val="20"/>
              </w:rPr>
              <w:t>and/or bare ground.  Most are impractical to control using herbicide.</w:t>
            </w:r>
          </w:p>
          <w:p w:rsidR="002628D6" w:rsidRPr="0024007D" w:rsidRDefault="002628D6" w:rsidP="0012196A">
            <w:pPr>
              <w:rPr>
                <w:color w:val="000000"/>
                <w:sz w:val="20"/>
                <w:szCs w:val="20"/>
              </w:rPr>
            </w:pPr>
          </w:p>
        </w:tc>
        <w:tc>
          <w:tcPr>
            <w:tcW w:w="851" w:type="dxa"/>
          </w:tcPr>
          <w:p w:rsidR="002628D6" w:rsidRPr="0024007D" w:rsidRDefault="002628D6" w:rsidP="0012196A">
            <w:pPr>
              <w:rPr>
                <w:color w:val="000000"/>
                <w:sz w:val="20"/>
                <w:szCs w:val="20"/>
              </w:rPr>
            </w:pPr>
            <w:r w:rsidRPr="0024007D">
              <w:rPr>
                <w:color w:val="000000"/>
                <w:sz w:val="20"/>
                <w:szCs w:val="20"/>
              </w:rPr>
              <w:t>4</w:t>
            </w:r>
          </w:p>
        </w:tc>
      </w:tr>
      <w:tr w:rsidR="002628D6" w:rsidRPr="0024007D" w:rsidTr="0012196A">
        <w:trPr>
          <w:trHeight w:val="315"/>
        </w:trPr>
        <w:tc>
          <w:tcPr>
            <w:tcW w:w="1951" w:type="dxa"/>
            <w:noWrap/>
            <w:hideMark/>
          </w:tcPr>
          <w:p w:rsidR="002628D6" w:rsidRPr="0024007D" w:rsidRDefault="00E403F7" w:rsidP="0012196A">
            <w:pPr>
              <w:rPr>
                <w:color w:val="000000"/>
                <w:sz w:val="20"/>
                <w:szCs w:val="20"/>
              </w:rPr>
            </w:pPr>
            <w:r>
              <w:rPr>
                <w:color w:val="000000"/>
                <w:sz w:val="20"/>
                <w:szCs w:val="20"/>
              </w:rPr>
              <w:t xml:space="preserve">13. </w:t>
            </w:r>
            <w:r w:rsidR="002628D6" w:rsidRPr="0024007D">
              <w:rPr>
                <w:color w:val="000000"/>
                <w:sz w:val="20"/>
                <w:szCs w:val="20"/>
              </w:rPr>
              <w:t>Cover of woody exotics</w:t>
            </w:r>
          </w:p>
        </w:tc>
        <w:tc>
          <w:tcPr>
            <w:tcW w:w="7229" w:type="dxa"/>
          </w:tcPr>
          <w:p w:rsidR="002628D6" w:rsidRPr="0024007D" w:rsidRDefault="002628D6" w:rsidP="0012196A">
            <w:pPr>
              <w:rPr>
                <w:color w:val="000000"/>
                <w:sz w:val="20"/>
                <w:szCs w:val="20"/>
              </w:rPr>
            </w:pPr>
            <w:r w:rsidRPr="0024007D">
              <w:rPr>
                <w:color w:val="000000"/>
                <w:sz w:val="20"/>
                <w:szCs w:val="20"/>
              </w:rPr>
              <w:t>These species may form dense stands that exclude other species, and alter the structure of the vegetation, providing shelter for native and pest animals.</w:t>
            </w:r>
          </w:p>
        </w:tc>
        <w:tc>
          <w:tcPr>
            <w:tcW w:w="851" w:type="dxa"/>
          </w:tcPr>
          <w:p w:rsidR="002628D6" w:rsidRPr="0024007D" w:rsidRDefault="002628D6" w:rsidP="0012196A">
            <w:pPr>
              <w:rPr>
                <w:color w:val="000000"/>
                <w:sz w:val="20"/>
                <w:szCs w:val="20"/>
              </w:rPr>
            </w:pPr>
            <w:r w:rsidRPr="0024007D">
              <w:rPr>
                <w:color w:val="000000"/>
                <w:sz w:val="20"/>
                <w:szCs w:val="20"/>
              </w:rPr>
              <w:t>4</w:t>
            </w:r>
          </w:p>
        </w:tc>
      </w:tr>
    </w:tbl>
    <w:p w:rsidR="008C5E7D" w:rsidRPr="0024007D" w:rsidRDefault="008C5E7D" w:rsidP="0024007D">
      <w:pPr>
        <w:pStyle w:val="HB"/>
      </w:pPr>
      <w:r w:rsidRPr="0024007D">
        <w:lastRenderedPageBreak/>
        <w:t>Selection of participants</w:t>
      </w:r>
      <w:bookmarkEnd w:id="11"/>
    </w:p>
    <w:p w:rsidR="008C5E7D" w:rsidRPr="0024007D" w:rsidRDefault="008C5E7D" w:rsidP="0024007D">
      <w:pPr>
        <w:spacing w:afterLines="113" w:after="271" w:line="240" w:lineRule="atLeast"/>
        <w:rPr>
          <w:rFonts w:cs="Arial"/>
          <w:szCs w:val="22"/>
        </w:rPr>
      </w:pPr>
      <w:r w:rsidRPr="0024007D">
        <w:rPr>
          <w:rFonts w:cs="Arial"/>
          <w:szCs w:val="22"/>
        </w:rPr>
        <w:t>Experts were selected with the intention of gathering opinions from a range of local stakeholders (we use the term ‘expert’ to describe any stakeholder with sufficient ecological knowledge to enable them to make evaluations based on simple vegetation data, regardless of their background or training). A diverse group</w:t>
      </w:r>
      <w:r w:rsidR="00F52524">
        <w:rPr>
          <w:rFonts w:cs="Arial"/>
          <w:szCs w:val="22"/>
        </w:rPr>
        <w:t xml:space="preserve"> wa</w:t>
      </w:r>
      <w:r w:rsidRPr="0024007D">
        <w:rPr>
          <w:rFonts w:cs="Arial"/>
          <w:szCs w:val="22"/>
        </w:rPr>
        <w:t>s</w:t>
      </w:r>
      <w:r w:rsidR="00F52524">
        <w:rPr>
          <w:rFonts w:cs="Arial"/>
          <w:szCs w:val="22"/>
        </w:rPr>
        <w:t xml:space="preserve"> selected</w:t>
      </w:r>
      <w:r w:rsidRPr="0024007D">
        <w:rPr>
          <w:rFonts w:cs="Arial"/>
          <w:szCs w:val="22"/>
        </w:rPr>
        <w:t xml:space="preserve"> (e.g. Academics, land managers, consultant ecologists, amateur naturalists, indigenous managers), excluding only those stakeholder groups that we assumed to lack the requisite knowledge about species to form useful judgements (i.e. the general public). </w:t>
      </w:r>
    </w:p>
    <w:p w:rsidR="008C5E7D" w:rsidRPr="0024007D" w:rsidRDefault="008C5E7D" w:rsidP="0024007D">
      <w:pPr>
        <w:spacing w:afterLines="113" w:after="271" w:line="240" w:lineRule="atLeast"/>
        <w:rPr>
          <w:rFonts w:cs="Arial"/>
          <w:szCs w:val="22"/>
        </w:rPr>
      </w:pPr>
      <w:r w:rsidRPr="0024007D">
        <w:rPr>
          <w:rFonts w:cs="Arial"/>
          <w:szCs w:val="22"/>
        </w:rPr>
        <w:t xml:space="preserve">Each expert was asked to self-assess their knowledge in a suite of </w:t>
      </w:r>
      <w:r w:rsidR="00F32A77">
        <w:rPr>
          <w:rFonts w:cs="Arial"/>
          <w:szCs w:val="22"/>
        </w:rPr>
        <w:t>topic areas related to GEW</w:t>
      </w:r>
      <w:r w:rsidRPr="0024007D">
        <w:rPr>
          <w:rFonts w:cs="Arial"/>
          <w:szCs w:val="22"/>
        </w:rPr>
        <w:t xml:space="preserve"> conservation (0 = no more knowledge than the average person, 1 = somewhat knowledgeable, 2 = expert).  These topic areas were then used to assign each expert to one of three </w:t>
      </w:r>
      <w:r w:rsidR="00911D10">
        <w:rPr>
          <w:rFonts w:cs="Arial"/>
          <w:szCs w:val="22"/>
        </w:rPr>
        <w:t>main fields</w:t>
      </w:r>
      <w:r w:rsidRPr="0024007D">
        <w:rPr>
          <w:rFonts w:cs="Arial"/>
          <w:szCs w:val="22"/>
        </w:rPr>
        <w:t>: plant ecology, animal ecolog</w:t>
      </w:r>
      <w:r w:rsidR="0024007D">
        <w:rPr>
          <w:rFonts w:cs="Arial"/>
          <w:szCs w:val="22"/>
        </w:rPr>
        <w:t>y, and land management. Figure 3</w:t>
      </w:r>
      <w:r w:rsidRPr="0024007D">
        <w:rPr>
          <w:rFonts w:cs="Arial"/>
          <w:szCs w:val="22"/>
        </w:rPr>
        <w:t xml:space="preserve"> represents the collective topic knowledge and the affiliations of the experts. This analysis is important, because it defines the coverage of the subjective opinion we modelled.</w:t>
      </w:r>
    </w:p>
    <w:p w:rsidR="0024007D" w:rsidRDefault="008C5E7D" w:rsidP="0024007D">
      <w:pPr>
        <w:spacing w:after="565" w:line="240" w:lineRule="atLeast"/>
        <w:rPr>
          <w:rFonts w:cs="Arial"/>
          <w:szCs w:val="22"/>
        </w:rPr>
      </w:pPr>
      <w:r w:rsidRPr="0024007D">
        <w:rPr>
          <w:rFonts w:cs="Arial"/>
          <w:szCs w:val="22"/>
        </w:rPr>
        <w:t>We interviewed 46 people. All responses were examined to confirm that the participant had been able to visualise the ecosystem and form sensible opinions on the basis of the site descriptions. People’s responses were removed from the sample if more than one quarter were outliers as judged by two outlier methods (</w:t>
      </w:r>
      <w:proofErr w:type="spellStart"/>
      <w:r w:rsidRPr="0024007D">
        <w:rPr>
          <w:rFonts w:cs="Arial"/>
          <w:szCs w:val="22"/>
        </w:rPr>
        <w:t>Chauvenet’s</w:t>
      </w:r>
      <w:proofErr w:type="spellEnd"/>
      <w:r w:rsidRPr="0024007D">
        <w:rPr>
          <w:rFonts w:cs="Arial"/>
          <w:szCs w:val="22"/>
        </w:rPr>
        <w:t xml:space="preserve"> and an arbitrary gap measure). Two interviewees were omitted, leaving 44 experts. Importantly, once the final set of experts was defined, we did not exclude any outlying opinions from the analysis, accepting that such data represent valid alternative evaluations from genuine experts.  The considerations used when deciding whether to keep or discard expert opinion data were discussed in Sinclair et al. (2015).</w:t>
      </w:r>
    </w:p>
    <w:p w:rsidR="0024007D" w:rsidRPr="005850A3" w:rsidRDefault="008C5E7D" w:rsidP="005850A3">
      <w:pPr>
        <w:pStyle w:val="HB"/>
      </w:pPr>
      <w:bookmarkStart w:id="12" w:name="_Toc443044145"/>
      <w:r w:rsidRPr="005850A3">
        <w:t>Expert data elicitation</w:t>
      </w:r>
      <w:bookmarkEnd w:id="12"/>
    </w:p>
    <w:p w:rsidR="008C5E7D" w:rsidRPr="0024007D" w:rsidRDefault="008C5E7D" w:rsidP="0024007D">
      <w:pPr>
        <w:spacing w:afterLines="113" w:after="271" w:line="240" w:lineRule="atLeast"/>
        <w:rPr>
          <w:rFonts w:cs="Arial"/>
          <w:szCs w:val="22"/>
        </w:rPr>
      </w:pPr>
      <w:r>
        <w:t xml:space="preserve">Each of the </w:t>
      </w:r>
      <w:r w:rsidRPr="00F1537E">
        <w:t>experts was given a subset of 15 site cards</w:t>
      </w:r>
      <w:r w:rsidR="00911D10">
        <w:t xml:space="preserve"> </w:t>
      </w:r>
      <w:r w:rsidR="00911D10">
        <w:t>(see ‘Test and training data’, below)</w:t>
      </w:r>
      <w:r w:rsidRPr="00F1537E">
        <w:t>. The experts were asked to first rank the sites in order of quality, with tied ranks permitted</w:t>
      </w:r>
      <w:r w:rsidR="00911D10">
        <w:t xml:space="preserve"> </w:t>
      </w:r>
      <w:r w:rsidR="00911D10">
        <w:t>(Figure 2)</w:t>
      </w:r>
      <w:r w:rsidRPr="00F1537E">
        <w:t xml:space="preserve">. They were then asked to write a number on each card reflecting the quality of the sites (again, with ties permitted), using five point increments from 0 to 100 (effectively a 20 point ordinal scale, but a 0–100 scale was considered easier for people used to dealing with percentages). It was explained that scores need not be evenly distributed across the range of possible </w:t>
      </w:r>
      <w:r w:rsidRPr="0024007D">
        <w:rPr>
          <w:rFonts w:cs="Arial"/>
          <w:szCs w:val="22"/>
        </w:rPr>
        <w:t xml:space="preserve">scores. </w:t>
      </w:r>
    </w:p>
    <w:p w:rsidR="008C5E7D" w:rsidRPr="0024007D" w:rsidRDefault="008C5E7D" w:rsidP="0024007D">
      <w:pPr>
        <w:spacing w:afterLines="113" w:after="271" w:line="240" w:lineRule="atLeast"/>
        <w:rPr>
          <w:rFonts w:cs="Arial"/>
          <w:szCs w:val="22"/>
        </w:rPr>
      </w:pPr>
      <w:r w:rsidRPr="0024007D">
        <w:rPr>
          <w:rFonts w:cs="Arial"/>
          <w:szCs w:val="22"/>
        </w:rPr>
        <w:t>Experts were briefed on how to conceive ‘quality’ (see Appendix 1 for the briefing notes). The respondents were told to disregard actual management costs, the likely future for the site, external threats, or any size or spatial context. They were also informed that conservation management was the only land use option for the site. No other guidance was provided about how quality was to be perceived. Clarifying questions were allowed throughout, but no communication was permitted between experts.</w:t>
      </w:r>
    </w:p>
    <w:p w:rsidR="008C5E7D" w:rsidRPr="0024007D" w:rsidRDefault="008C5E7D" w:rsidP="0024007D">
      <w:pPr>
        <w:spacing w:afterLines="113" w:after="271" w:line="240" w:lineRule="atLeast"/>
        <w:rPr>
          <w:rFonts w:cs="Arial"/>
          <w:szCs w:val="22"/>
        </w:rPr>
      </w:pPr>
      <w:r w:rsidRPr="0024007D">
        <w:rPr>
          <w:rFonts w:cs="Arial"/>
          <w:szCs w:val="22"/>
        </w:rPr>
        <w:t>We compelled every expert to use a comparable scale by seeding each set of cards with pre-judged ‘high’ and ‘low’ calibration sites. These were identified in a small pilot study of five</w:t>
      </w:r>
      <w:r w:rsidR="00507E14">
        <w:rPr>
          <w:rFonts w:cs="Arial"/>
          <w:szCs w:val="22"/>
        </w:rPr>
        <w:t xml:space="preserve"> experts</w:t>
      </w:r>
      <w:r w:rsidRPr="0024007D">
        <w:rPr>
          <w:rFonts w:cs="Arial"/>
          <w:szCs w:val="22"/>
        </w:rPr>
        <w:t>, which identified two sites considered by all to be of 100% quality (i.e. reference sites for the ecosystem), and two sites considered to be of 0% quality. Each set of 15 cards included these four calibration sites, and they were evaluated by every expert (see Figure 2b). The remaining 11 sites in a set of 15 were randomly allocated to each expert from the remaining pool of 121 sites, with limited replacement to ensure that each site was evaluated by at least five experts. The experts were unaware that their set of cards included calibration sites.</w:t>
      </w:r>
    </w:p>
    <w:p w:rsidR="005850A3" w:rsidRDefault="005850A3" w:rsidP="0024007D">
      <w:pPr>
        <w:spacing w:afterLines="113" w:after="271" w:line="240" w:lineRule="atLeast"/>
        <w:rPr>
          <w:rFonts w:cs="Arial"/>
          <w:szCs w:val="22"/>
        </w:rPr>
      </w:pPr>
    </w:p>
    <w:p w:rsidR="005850A3" w:rsidRDefault="005850A3" w:rsidP="0024007D">
      <w:pPr>
        <w:spacing w:afterLines="113" w:after="271" w:line="240" w:lineRule="atLeast"/>
        <w:rPr>
          <w:rFonts w:cs="Arial"/>
          <w:szCs w:val="22"/>
        </w:rPr>
      </w:pPr>
    </w:p>
    <w:p w:rsidR="008C5E7D" w:rsidRDefault="008C5E7D" w:rsidP="0024007D">
      <w:pPr>
        <w:spacing w:afterLines="113" w:after="271" w:line="240" w:lineRule="atLeast"/>
        <w:rPr>
          <w:rFonts w:cs="Arial"/>
          <w:szCs w:val="22"/>
        </w:rPr>
      </w:pPr>
      <w:r w:rsidRPr="0024007D">
        <w:rPr>
          <w:rFonts w:cs="Arial"/>
          <w:szCs w:val="22"/>
        </w:rPr>
        <w:lastRenderedPageBreak/>
        <w:t>Each expert was required to score their own top- and bottom-ranked site 100% and 0%, respectively (not necessarily the calibration sites). Experts who could imagine sites outside the range of their set were given a blank card to create a new site that they were satisfied represented their conception of a true 100 or 0 quality site. The purpose of the approach was to prevent ‘</w:t>
      </w:r>
      <w:proofErr w:type="spellStart"/>
      <w:r w:rsidRPr="0024007D">
        <w:rPr>
          <w:rFonts w:cs="Arial"/>
          <w:szCs w:val="22"/>
        </w:rPr>
        <w:t>mis</w:t>
      </w:r>
      <w:proofErr w:type="spellEnd"/>
      <w:r w:rsidRPr="0024007D">
        <w:rPr>
          <w:rFonts w:cs="Arial"/>
          <w:szCs w:val="22"/>
        </w:rPr>
        <w:t xml:space="preserve">-calibration’, but without forcing experts to agree on the same archetype of ‘best’ or ‘worst’. The approach allows differently-calibrated experts to be identified, enabling their data to be re-scaled to fit the consensus calibration (or potentially discarded). As presented in the Results, re-scaling proved to be unnecessary.  </w:t>
      </w:r>
    </w:p>
    <w:p w:rsidR="0024007D" w:rsidRPr="0024007D" w:rsidRDefault="0024007D" w:rsidP="0024007D">
      <w:pPr>
        <w:spacing w:afterLines="113" w:after="271" w:line="240" w:lineRule="atLeast"/>
        <w:rPr>
          <w:rFonts w:cs="Arial"/>
          <w:szCs w:val="22"/>
        </w:rPr>
      </w:pPr>
    </w:p>
    <w:p w:rsidR="008C5E7D" w:rsidRDefault="008C5E7D" w:rsidP="008C5E7D">
      <w:pPr>
        <w:spacing w:line="360" w:lineRule="auto"/>
        <w:rPr>
          <w:rFonts w:ascii="Cambria" w:hAnsi="Cambria" w:cs="Cambria"/>
          <w:b/>
          <w:bCs/>
          <w:color w:val="4F81BD"/>
          <w:sz w:val="26"/>
          <w:szCs w:val="26"/>
        </w:rPr>
      </w:pPr>
      <w:r>
        <w:rPr>
          <w:rFonts w:ascii="Cambria" w:hAnsi="Cambria" w:cs="Cambria"/>
          <w:b/>
          <w:bCs/>
          <w:noProof/>
          <w:color w:val="4F81BD"/>
          <w:sz w:val="26"/>
          <w:szCs w:val="26"/>
          <w:lang w:eastAsia="en-AU"/>
        </w:rPr>
        <w:drawing>
          <wp:inline distT="0" distB="0" distL="0" distR="0" wp14:anchorId="673CE9B1" wp14:editId="26DE0A3D">
            <wp:extent cx="5324354" cy="251234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entation1.jpg"/>
                    <pic:cNvPicPr/>
                  </pic:nvPicPr>
                  <pic:blipFill>
                    <a:blip r:embed="rId26">
                      <a:extLst>
                        <a:ext uri="{28A0092B-C50C-407E-A947-70E740481C1C}">
                          <a14:useLocalDpi xmlns:a14="http://schemas.microsoft.com/office/drawing/2010/main" val="0"/>
                        </a:ext>
                      </a:extLst>
                    </a:blip>
                    <a:stretch>
                      <a:fillRect/>
                    </a:stretch>
                  </pic:blipFill>
                  <pic:spPr>
                    <a:xfrm>
                      <a:off x="0" y="0"/>
                      <a:ext cx="5326252" cy="2513239"/>
                    </a:xfrm>
                    <a:prstGeom prst="rect">
                      <a:avLst/>
                    </a:prstGeom>
                  </pic:spPr>
                </pic:pic>
              </a:graphicData>
            </a:graphic>
          </wp:inline>
        </w:drawing>
      </w:r>
    </w:p>
    <w:p w:rsidR="0024007D" w:rsidRDefault="008C5E7D" w:rsidP="005850A3">
      <w:pPr>
        <w:rPr>
          <w:rFonts w:cs="Arial"/>
          <w:b/>
          <w:color w:val="404040"/>
          <w:sz w:val="20"/>
          <w:szCs w:val="14"/>
        </w:rPr>
      </w:pPr>
      <w:r w:rsidRPr="0024007D">
        <w:rPr>
          <w:rFonts w:cs="Arial"/>
          <w:b/>
          <w:color w:val="404040"/>
          <w:sz w:val="20"/>
          <w:szCs w:val="14"/>
        </w:rPr>
        <w:t>Figure 2. The left panel shows an example of one of the cards representing a synthetic GEW site.  This site was one of the calibration sites, and received an average score of 97.  The right panel shows an expert ranking and scoring the sites by a</w:t>
      </w:r>
      <w:r w:rsidR="005850A3">
        <w:rPr>
          <w:rFonts w:cs="Arial"/>
          <w:b/>
          <w:color w:val="404040"/>
          <w:sz w:val="20"/>
          <w:szCs w:val="14"/>
        </w:rPr>
        <w:t xml:space="preserve">rranging the cards on a table. </w:t>
      </w:r>
    </w:p>
    <w:p w:rsidR="005850A3" w:rsidRPr="005850A3" w:rsidRDefault="005850A3" w:rsidP="005850A3">
      <w:pPr>
        <w:rPr>
          <w:rFonts w:cs="Arial"/>
          <w:b/>
          <w:color w:val="404040"/>
          <w:sz w:val="20"/>
          <w:szCs w:val="14"/>
        </w:rPr>
      </w:pPr>
    </w:p>
    <w:p w:rsidR="008C5E7D" w:rsidRPr="005850A3" w:rsidRDefault="008C5E7D" w:rsidP="005850A3">
      <w:pPr>
        <w:pStyle w:val="HB"/>
      </w:pPr>
      <w:bookmarkStart w:id="13" w:name="_Toc443044146"/>
      <w:r w:rsidRPr="005850A3">
        <w:t>Test and training data</w:t>
      </w:r>
      <w:bookmarkEnd w:id="13"/>
    </w:p>
    <w:p w:rsidR="008C5E7D" w:rsidRPr="0024007D" w:rsidRDefault="008C5E7D" w:rsidP="0024007D">
      <w:pPr>
        <w:spacing w:afterLines="113" w:after="271" w:line="240" w:lineRule="atLeast"/>
        <w:rPr>
          <w:rFonts w:cs="Arial"/>
          <w:szCs w:val="22"/>
        </w:rPr>
      </w:pPr>
      <w:r w:rsidRPr="0024007D">
        <w:rPr>
          <w:rFonts w:cs="Arial"/>
          <w:szCs w:val="22"/>
        </w:rPr>
        <w:t xml:space="preserve">It is important that the model is tested on sites that were not used for training the model (i.e. test data is assigned by ‘site’ not by ‘evaluation’).  The sites were assigned to either the ‘training’ set used to train the model (100 sites), or the ‘test’ set for out-of sample model validation (25 sites), largely to test whether the models were overfit to the training data. </w:t>
      </w:r>
    </w:p>
    <w:p w:rsidR="008C5E7D" w:rsidRPr="0024007D" w:rsidRDefault="008C5E7D" w:rsidP="0024007D">
      <w:pPr>
        <w:spacing w:afterLines="113" w:after="271" w:line="240" w:lineRule="atLeast"/>
        <w:rPr>
          <w:rFonts w:cs="Arial"/>
          <w:szCs w:val="22"/>
        </w:rPr>
      </w:pPr>
      <w:r w:rsidRPr="0024007D">
        <w:rPr>
          <w:rFonts w:cs="Arial"/>
          <w:szCs w:val="22"/>
        </w:rPr>
        <w:t>The test sites will ideally span the full range of variation in the data.  It is also important that test sites have been evaluated a sufficient number of times by different experts so that the model’s predictions can be understood against the spread of expert opinion.  To ensure the test sites were well spread across the dataset, a simple stratification was used to assign the sites.  We first arranged the sites along the first principal component, defined from all the site variables.  We separately performed a Multi-dimensional scaling analysis (MDS) on the sites, and arranged the sites along the first axis of the MDS.  The sites were then clustered into 25 bins, using both the Principal component and the MDS axes.  One site was selected at random from each bin, excluding sites that had been evaluated by less than 3 experts, and these sites were assigned to the ‘test’ set (i.e. 20% of the sites) (to ensure that some spread of opinion was included in the test sites).  All analyses for stratification were performed in KNIME.</w:t>
      </w:r>
    </w:p>
    <w:p w:rsidR="008C5E7D" w:rsidRPr="0024007D" w:rsidRDefault="008C5E7D" w:rsidP="0024007D">
      <w:pPr>
        <w:spacing w:afterLines="113" w:after="271" w:line="240" w:lineRule="atLeast"/>
        <w:rPr>
          <w:rFonts w:cs="Arial"/>
          <w:szCs w:val="22"/>
        </w:rPr>
      </w:pPr>
      <w:r w:rsidRPr="0024007D">
        <w:rPr>
          <w:rFonts w:cs="Arial"/>
          <w:szCs w:val="22"/>
        </w:rPr>
        <w:t xml:space="preserve">The 4 sites that were included for scaling purposes in every expert’s set of sites were among the 100 training sites. Given they were evaluated so much more frequently than any other site (46 times each), a random selection of five expert responses for each of those sites was included in the training dataset, and the remainder discarded. </w:t>
      </w:r>
    </w:p>
    <w:p w:rsidR="008C5E7D" w:rsidRPr="0024007D" w:rsidRDefault="008C5E7D" w:rsidP="0024007D">
      <w:pPr>
        <w:spacing w:afterLines="113" w:after="271" w:line="240" w:lineRule="atLeast"/>
        <w:rPr>
          <w:rFonts w:cs="Arial"/>
          <w:szCs w:val="22"/>
        </w:rPr>
      </w:pPr>
      <w:r w:rsidRPr="0024007D">
        <w:rPr>
          <w:rFonts w:cs="Arial"/>
          <w:szCs w:val="22"/>
        </w:rPr>
        <w:lastRenderedPageBreak/>
        <w:t>The final training dataset included 425 individual evaluations of 100 sites (mean evaluations per site: 4.25; range 2-8 evaluations per site).  Evaluations from all 44 of the experts were included in the training dataset, with at least 6 evaluations from each expert contributing to training.  Thus, the knowledge of all of the experts contributed to the model.</w:t>
      </w:r>
    </w:p>
    <w:p w:rsidR="008C5E7D" w:rsidRPr="005850A3" w:rsidRDefault="008C5E7D" w:rsidP="005850A3">
      <w:pPr>
        <w:spacing w:afterLines="113" w:after="271" w:line="240" w:lineRule="atLeast"/>
        <w:rPr>
          <w:rFonts w:cs="Arial"/>
          <w:szCs w:val="22"/>
        </w:rPr>
      </w:pPr>
      <w:r w:rsidRPr="0024007D">
        <w:rPr>
          <w:rFonts w:cs="Arial"/>
          <w:szCs w:val="22"/>
        </w:rPr>
        <w:t>The test dataset included 102 evaluations of 25 sites (mean evaluations per site: 4.08; range 3-6 evaluations per site).  42 of the 44 experts contributed e</w:t>
      </w:r>
      <w:r w:rsidR="005850A3">
        <w:rPr>
          <w:rFonts w:cs="Arial"/>
          <w:szCs w:val="22"/>
        </w:rPr>
        <w:t>valuations to the test dataset.</w:t>
      </w:r>
    </w:p>
    <w:p w:rsidR="008C5E7D" w:rsidRPr="005850A3" w:rsidRDefault="008C5E7D" w:rsidP="005850A3">
      <w:pPr>
        <w:pStyle w:val="HB"/>
      </w:pPr>
      <w:bookmarkStart w:id="14" w:name="_Toc443044147"/>
      <w:r w:rsidRPr="005850A3">
        <w:t>Modelling</w:t>
      </w:r>
      <w:bookmarkEnd w:id="14"/>
    </w:p>
    <w:p w:rsidR="008C5E7D" w:rsidRPr="0024007D" w:rsidRDefault="008C5E7D" w:rsidP="0024007D">
      <w:pPr>
        <w:spacing w:afterLines="113" w:after="271" w:line="240" w:lineRule="atLeast"/>
        <w:rPr>
          <w:rFonts w:cs="Arial"/>
          <w:szCs w:val="22"/>
        </w:rPr>
      </w:pPr>
      <w:r w:rsidRPr="0024007D">
        <w:rPr>
          <w:rFonts w:cs="Arial"/>
          <w:szCs w:val="22"/>
        </w:rPr>
        <w:t>The goal was to create a model able to predict the quality of previously unseen sites as if it were a trustworthy expert, based on the known input variables.  A modelling approach was required that could deal with multiple variables of different kinds (categorical, ordinal, continuous) that are potentially non-independent, non-linear, and interacting. To this end, regression trees were selected to perform the modelling.  This approach was shown previously to be as effective as the other commonly-used option- Neural Networks (Sinclair et al. 2015).  The analysis was implemented in ‘</w:t>
      </w:r>
      <w:proofErr w:type="spellStart"/>
      <w:r w:rsidRPr="0024007D">
        <w:rPr>
          <w:rFonts w:cs="Arial"/>
          <w:szCs w:val="22"/>
        </w:rPr>
        <w:t>Clus</w:t>
      </w:r>
      <w:proofErr w:type="spellEnd"/>
      <w:r w:rsidRPr="0024007D">
        <w:rPr>
          <w:rFonts w:cs="Arial"/>
          <w:szCs w:val="22"/>
        </w:rPr>
        <w:t>’ (</w:t>
      </w:r>
      <w:proofErr w:type="spellStart"/>
      <w:r w:rsidRPr="0024007D">
        <w:rPr>
          <w:rFonts w:cs="Arial"/>
          <w:szCs w:val="22"/>
        </w:rPr>
        <w:t>Blockeel</w:t>
      </w:r>
      <w:proofErr w:type="spellEnd"/>
      <w:r w:rsidRPr="0024007D">
        <w:rPr>
          <w:rFonts w:cs="Arial"/>
          <w:szCs w:val="22"/>
        </w:rPr>
        <w:t xml:space="preserve"> et al. 1998, 1999). </w:t>
      </w:r>
    </w:p>
    <w:p w:rsidR="008C5E7D" w:rsidRPr="0024007D" w:rsidRDefault="008C5E7D" w:rsidP="0024007D">
      <w:pPr>
        <w:spacing w:afterLines="113" w:after="271" w:line="240" w:lineRule="atLeast"/>
        <w:rPr>
          <w:rFonts w:cs="Arial"/>
          <w:szCs w:val="22"/>
        </w:rPr>
      </w:pPr>
      <w:r w:rsidRPr="0024007D">
        <w:rPr>
          <w:rFonts w:cs="Arial"/>
          <w:szCs w:val="22"/>
        </w:rPr>
        <w:t>Regression trees produce a bifurcating ‘decision tree’ by splitting the dataset into subsets based on the values of the training inputs (recursive partitioning). An individual tree can be read as a series of tests (splits) applied to the data, with the result of each test leading to one or other subset, and eventually to a prediction (</w:t>
      </w:r>
      <w:proofErr w:type="spellStart"/>
      <w:r w:rsidRPr="0024007D">
        <w:rPr>
          <w:rFonts w:cs="Arial"/>
          <w:szCs w:val="22"/>
        </w:rPr>
        <w:t>Breiman</w:t>
      </w:r>
      <w:proofErr w:type="spellEnd"/>
      <w:r w:rsidRPr="0024007D">
        <w:rPr>
          <w:rFonts w:cs="Arial"/>
          <w:szCs w:val="22"/>
        </w:rPr>
        <w:t xml:space="preserve"> et al. 1984; Kim and Park 2009, see Figure 4). The models presented here also use regression tree bagging; a model averaging approach where many unpruned regression trees are used together in an ‘ensemble’. Bagging can yield substantial gains in model accuracy and prevent over-fitting (</w:t>
      </w:r>
      <w:proofErr w:type="spellStart"/>
      <w:r w:rsidRPr="0024007D">
        <w:rPr>
          <w:rFonts w:cs="Arial"/>
          <w:szCs w:val="22"/>
        </w:rPr>
        <w:t>Breiman</w:t>
      </w:r>
      <w:proofErr w:type="spellEnd"/>
      <w:r w:rsidRPr="0024007D">
        <w:rPr>
          <w:rFonts w:cs="Arial"/>
          <w:szCs w:val="22"/>
        </w:rPr>
        <w:t xml:space="preserve"> 1996). In all, thirty bootstrap samples each comprising 66% of the available training data were drawn to create the twenty models used in the ensemble. Model error is reported using the Root Mean Squared Error (RMSE),  reported on a 0-100 scale.</w:t>
      </w:r>
    </w:p>
    <w:p w:rsidR="008C5E7D" w:rsidRPr="0024007D" w:rsidRDefault="008C5E7D" w:rsidP="0024007D">
      <w:pPr>
        <w:spacing w:afterLines="113" w:after="271" w:line="240" w:lineRule="atLeast"/>
        <w:rPr>
          <w:rFonts w:cs="Arial"/>
          <w:szCs w:val="22"/>
        </w:rPr>
      </w:pPr>
      <w:r w:rsidRPr="0024007D">
        <w:rPr>
          <w:rFonts w:cs="Arial"/>
          <w:szCs w:val="22"/>
        </w:rPr>
        <w:t xml:space="preserve">All charts were produced using R (R Core Development Team, 2014). </w:t>
      </w:r>
    </w:p>
    <w:p w:rsidR="008C5E7D" w:rsidRPr="005850A3" w:rsidRDefault="008C5E7D" w:rsidP="005850A3">
      <w:pPr>
        <w:pStyle w:val="HB"/>
      </w:pPr>
      <w:bookmarkStart w:id="15" w:name="_Toc443044148"/>
      <w:r w:rsidRPr="005850A3">
        <w:t>Testing whether sufficient stakeholder consultation was used</w:t>
      </w:r>
      <w:bookmarkEnd w:id="15"/>
    </w:p>
    <w:p w:rsidR="008C5E7D" w:rsidRPr="0024007D" w:rsidRDefault="008C5E7D" w:rsidP="0024007D">
      <w:pPr>
        <w:spacing w:afterLines="113" w:after="271" w:line="240" w:lineRule="atLeast"/>
        <w:rPr>
          <w:rFonts w:cs="Arial"/>
          <w:szCs w:val="22"/>
        </w:rPr>
      </w:pPr>
      <w:r w:rsidRPr="0024007D">
        <w:rPr>
          <w:rFonts w:cs="Arial"/>
          <w:szCs w:val="22"/>
        </w:rPr>
        <w:t>To explore the effect of expert sample size, the effect of asking more or less experts was simulated by first selecting one expert at random from the sample and constructing a model from that expert’s responses alone. A second randomly selected expert was then added, and a two-expert model was constructed. This was performed sequentially until all 44 experts were included. This procedure was repeated 100 times, starting from a different random expert each time.</w:t>
      </w:r>
    </w:p>
    <w:p w:rsidR="0029230F" w:rsidRDefault="0029230F">
      <w:pPr>
        <w:rPr>
          <w:rFonts w:cs="Arial"/>
          <w:b/>
          <w:color w:val="404040"/>
          <w:sz w:val="20"/>
          <w:szCs w:val="14"/>
        </w:rPr>
      </w:pPr>
    </w:p>
    <w:p w:rsidR="0024007D" w:rsidRDefault="0024007D">
      <w:pPr>
        <w:rPr>
          <w:rFonts w:cs="Arial"/>
          <w:color w:val="228591"/>
          <w:sz w:val="40"/>
          <w:lang w:val="en-US"/>
        </w:rPr>
      </w:pPr>
      <w:r>
        <w:br w:type="page"/>
      </w:r>
    </w:p>
    <w:p w:rsidR="00C83E05" w:rsidRDefault="008C5E7D" w:rsidP="00BE1D3F">
      <w:pPr>
        <w:pStyle w:val="HA"/>
      </w:pPr>
      <w:bookmarkStart w:id="16" w:name="_Toc443044149"/>
      <w:r>
        <w:lastRenderedPageBreak/>
        <w:t>R</w:t>
      </w:r>
      <w:r w:rsidR="00C83E05">
        <w:t>esults</w:t>
      </w:r>
      <w:bookmarkEnd w:id="16"/>
    </w:p>
    <w:p w:rsidR="00652C52" w:rsidRPr="005850A3" w:rsidRDefault="00652C52" w:rsidP="005850A3">
      <w:pPr>
        <w:pStyle w:val="HB"/>
      </w:pPr>
      <w:bookmarkStart w:id="17" w:name="_Toc443044150"/>
      <w:r w:rsidRPr="005850A3">
        <w:t>Describing the stakeholder group represented in the model</w:t>
      </w:r>
      <w:bookmarkEnd w:id="17"/>
    </w:p>
    <w:p w:rsidR="00652C52" w:rsidRPr="006836BA" w:rsidRDefault="00652C52" w:rsidP="006836BA">
      <w:pPr>
        <w:spacing w:afterLines="113" w:after="271" w:line="240" w:lineRule="atLeast"/>
        <w:rPr>
          <w:rFonts w:cs="Arial"/>
          <w:szCs w:val="22"/>
        </w:rPr>
      </w:pPr>
      <w:r w:rsidRPr="006836BA">
        <w:rPr>
          <w:rFonts w:cs="Arial"/>
          <w:szCs w:val="22"/>
        </w:rPr>
        <w:t>One strength of the approach used here is that the model is based on expert evaluations, and can be said to ‘speak for’ the group of people whose opinions formed the dataset, in a manner that is directly demonstrable.  It is thus important to describe the stakeholder group collectively. Figure 3 summarised the degree to which selected subject areas and professional affiliations are represented in the opinion-set.</w:t>
      </w:r>
    </w:p>
    <w:p w:rsidR="00652C52" w:rsidRDefault="00652C52" w:rsidP="00652C52">
      <w:pPr>
        <w:spacing w:line="360" w:lineRule="auto"/>
      </w:pPr>
    </w:p>
    <w:p w:rsidR="00652C52" w:rsidRPr="00C87615" w:rsidRDefault="00652C52" w:rsidP="00652C52">
      <w:pPr>
        <w:spacing w:line="360" w:lineRule="auto"/>
        <w:jc w:val="center"/>
      </w:pPr>
      <w:r>
        <w:rPr>
          <w:noProof/>
          <w:lang w:eastAsia="en-AU"/>
        </w:rPr>
        <w:drawing>
          <wp:inline distT="0" distB="0" distL="0" distR="0" wp14:anchorId="60047072" wp14:editId="255AB1EA">
            <wp:extent cx="4282633" cy="4665773"/>
            <wp:effectExtent l="0" t="0" r="381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expertplot.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93166" cy="4677249"/>
                    </a:xfrm>
                    <a:prstGeom prst="rect">
                      <a:avLst/>
                    </a:prstGeom>
                  </pic:spPr>
                </pic:pic>
              </a:graphicData>
            </a:graphic>
          </wp:inline>
        </w:drawing>
      </w:r>
    </w:p>
    <w:p w:rsidR="006836BA" w:rsidRDefault="006836BA" w:rsidP="006836BA">
      <w:pPr>
        <w:rPr>
          <w:rFonts w:cs="Arial"/>
          <w:b/>
          <w:color w:val="404040"/>
          <w:sz w:val="20"/>
          <w:szCs w:val="14"/>
        </w:rPr>
      </w:pPr>
    </w:p>
    <w:p w:rsidR="006836BA" w:rsidRDefault="006836BA" w:rsidP="006836BA">
      <w:pPr>
        <w:rPr>
          <w:rFonts w:cs="Arial"/>
          <w:b/>
          <w:color w:val="404040"/>
          <w:sz w:val="20"/>
          <w:szCs w:val="14"/>
        </w:rPr>
      </w:pPr>
    </w:p>
    <w:p w:rsidR="00652C52" w:rsidRPr="006836BA" w:rsidRDefault="00652C52" w:rsidP="006836BA">
      <w:pPr>
        <w:rPr>
          <w:rFonts w:cs="Arial"/>
          <w:b/>
          <w:color w:val="404040"/>
          <w:sz w:val="20"/>
          <w:szCs w:val="14"/>
        </w:rPr>
      </w:pPr>
      <w:r w:rsidRPr="006836BA">
        <w:rPr>
          <w:rFonts w:cs="Arial"/>
          <w:b/>
          <w:color w:val="404040"/>
          <w:sz w:val="20"/>
          <w:szCs w:val="14"/>
        </w:rPr>
        <w:t>Figure 3. Panels ‘a’ and ‘b’ show expert self-assessments. The black and grey bars represent the number of experts describing themselves as “expert“ or “somewhat knowledgeable“, respectively. The categories of expertise are not mutually exclusive classifications, and the totals are not cumulative. Panels ‘c’ and ‘d’ show the expert subject areas and affiliations according to a smaller set of categories, summarised form the data.</w:t>
      </w:r>
    </w:p>
    <w:p w:rsidR="00652C52" w:rsidRDefault="00652C52" w:rsidP="00652C52">
      <w:pPr>
        <w:rPr>
          <w:rFonts w:ascii="Cambria" w:hAnsi="Cambria" w:cs="Cambria"/>
          <w:b/>
          <w:bCs/>
          <w:color w:val="4F81BD"/>
          <w:sz w:val="26"/>
          <w:szCs w:val="26"/>
        </w:rPr>
      </w:pPr>
      <w:r>
        <w:rPr>
          <w:rFonts w:ascii="Cambria" w:hAnsi="Cambria" w:cs="Cambria"/>
          <w:b/>
          <w:bCs/>
          <w:color w:val="4F81BD"/>
          <w:sz w:val="26"/>
          <w:szCs w:val="26"/>
        </w:rPr>
        <w:br w:type="page"/>
      </w:r>
    </w:p>
    <w:p w:rsidR="00652C52" w:rsidRPr="005850A3" w:rsidRDefault="00652C52" w:rsidP="005850A3">
      <w:pPr>
        <w:pStyle w:val="HB"/>
      </w:pPr>
      <w:bookmarkStart w:id="18" w:name="_Toc443044151"/>
      <w:r w:rsidRPr="005850A3">
        <w:lastRenderedPageBreak/>
        <w:t>Calibration and divergence of opinion</w:t>
      </w:r>
      <w:bookmarkEnd w:id="18"/>
    </w:p>
    <w:p w:rsidR="00652C52" w:rsidRPr="006836BA" w:rsidRDefault="00652C52" w:rsidP="006836BA">
      <w:pPr>
        <w:spacing w:afterLines="113" w:after="271" w:line="240" w:lineRule="atLeast"/>
        <w:rPr>
          <w:rFonts w:cs="Arial"/>
          <w:szCs w:val="22"/>
        </w:rPr>
      </w:pPr>
      <w:r w:rsidRPr="006836BA">
        <w:rPr>
          <w:rFonts w:cs="Arial"/>
          <w:szCs w:val="22"/>
        </w:rPr>
        <w:t xml:space="preserve">The modelling approach requires that all the experts provide evaluations on a common scale.  This relies on a calibration approach where all experts are provided with the same ‘top’ and ‘bottom’ cards, and asked to ensure that they provide condition assessments that range between 0 and 100.  </w:t>
      </w:r>
    </w:p>
    <w:p w:rsidR="00652C52" w:rsidRPr="006836BA" w:rsidRDefault="00652C52" w:rsidP="006836BA">
      <w:pPr>
        <w:spacing w:afterLines="113" w:after="271" w:line="240" w:lineRule="atLeast"/>
        <w:rPr>
          <w:rFonts w:cs="Arial"/>
          <w:szCs w:val="22"/>
        </w:rPr>
      </w:pPr>
      <w:r w:rsidRPr="006836BA">
        <w:rPr>
          <w:rFonts w:cs="Arial"/>
          <w:szCs w:val="22"/>
        </w:rPr>
        <w:t>Th</w:t>
      </w:r>
      <w:r w:rsidR="009979DB">
        <w:rPr>
          <w:rFonts w:cs="Arial"/>
          <w:szCs w:val="22"/>
        </w:rPr>
        <w:t>e calibration approach is</w:t>
      </w:r>
      <w:r w:rsidRPr="006836BA">
        <w:rPr>
          <w:rFonts w:cs="Arial"/>
          <w:szCs w:val="22"/>
        </w:rPr>
        <w:t xml:space="preserve"> considered successful for GEW.  All 44experts assigned one of the ‘bottom’ sites the lowest score in their set (zero).  41 of the 44 experts assigned one of the ‘top’ sites the highest score in their set (100).  The highest scores assigned to the ‘top’ cards by the remaining 3 experts were close to 100 (95, 90 and 80), and only 2 experts elected to create their own new sites to represent their personal conception of the ‘top’ site. Rescaling was not considered necessary (given the 5 point increments used in recording scores), and no data were discarded.  It was concluded that all experts were essentially scaled on a common scale, and contributed to a coherent, single set of expert judgement. The success of calibration approach is comparable to that reported in Sinclair et al. (2015).  The full range of expert evaluation of the calibration sites is shown in Figure 3.</w:t>
      </w:r>
    </w:p>
    <w:p w:rsidR="00652C52" w:rsidRPr="006836BA" w:rsidRDefault="00652C52" w:rsidP="006836BA">
      <w:pPr>
        <w:spacing w:afterLines="113" w:after="271" w:line="240" w:lineRule="atLeast"/>
        <w:rPr>
          <w:rFonts w:cs="Arial"/>
          <w:szCs w:val="22"/>
        </w:rPr>
      </w:pPr>
      <w:r w:rsidRPr="006836BA">
        <w:rPr>
          <w:rFonts w:cs="Arial"/>
          <w:szCs w:val="22"/>
        </w:rPr>
        <w:t xml:space="preserve">The distribution of all expert evaluations of all sites is shown in Figure 4, with the sites ordered along the horizontal axis according to their mean evaluation by all experts. There was substantial divergence of opinion. Agreement was markedly tighter at the extremes. The experts agreed on what was ‘very good’ or ‘very bad’, with disagreement greatest in the assessments of intermediate sites.  </w:t>
      </w:r>
    </w:p>
    <w:p w:rsidR="00652C52" w:rsidRPr="006836BA" w:rsidRDefault="00652C52" w:rsidP="006836BA">
      <w:pPr>
        <w:spacing w:afterLines="113" w:after="271" w:line="240" w:lineRule="atLeast"/>
        <w:rPr>
          <w:rFonts w:cs="Arial"/>
          <w:szCs w:val="22"/>
        </w:rPr>
      </w:pPr>
      <w:r w:rsidRPr="006836BA">
        <w:rPr>
          <w:rFonts w:cs="Arial"/>
          <w:szCs w:val="22"/>
        </w:rPr>
        <w:t>In order to appreciate the nature of this spread of opinion, it is necessary to understand that the ordering of the sites along the horizontal axis artificially imposes some appearance of a meaningful ‘linear’ structure in the dataset.  In order to appreciate how much the GEW opinion dataset differs from a random and meaningless set of evaluations, Appendix 2 presents plots comparing the actual set of responses with false random evaluations.  This confirms that the degree of agreement is clearly beyond what would be expected from random responses.</w:t>
      </w:r>
    </w:p>
    <w:p w:rsidR="00652C52" w:rsidRPr="005850A3" w:rsidRDefault="00652C52" w:rsidP="005850A3">
      <w:pPr>
        <w:pStyle w:val="HB"/>
      </w:pPr>
      <w:bookmarkStart w:id="19" w:name="_Toc443044152"/>
      <w:r w:rsidRPr="005850A3">
        <w:t>Modelling site quality</w:t>
      </w:r>
      <w:bookmarkEnd w:id="19"/>
    </w:p>
    <w:p w:rsidR="00652C52" w:rsidRPr="006836BA" w:rsidRDefault="00652C52" w:rsidP="006836BA">
      <w:pPr>
        <w:spacing w:afterLines="113" w:after="271" w:line="240" w:lineRule="atLeast"/>
        <w:rPr>
          <w:rFonts w:cs="Arial"/>
          <w:szCs w:val="22"/>
        </w:rPr>
      </w:pPr>
      <w:r w:rsidRPr="006836BA">
        <w:rPr>
          <w:rFonts w:cs="Arial"/>
          <w:szCs w:val="22"/>
        </w:rPr>
        <w:t>Our final ensemble model was relatively competent at predicting the perceived quality of the sites in both the training dataset (r</w:t>
      </w:r>
      <w:r w:rsidRPr="002B6E34">
        <w:rPr>
          <w:rFonts w:cs="Arial"/>
          <w:szCs w:val="22"/>
          <w:vertAlign w:val="superscript"/>
        </w:rPr>
        <w:t>2</w:t>
      </w:r>
      <w:r w:rsidRPr="006836BA">
        <w:rPr>
          <w:rFonts w:cs="Arial"/>
          <w:szCs w:val="22"/>
        </w:rPr>
        <w:t>=0.74) and the test set (r</w:t>
      </w:r>
      <w:r w:rsidRPr="002B6E34">
        <w:rPr>
          <w:rFonts w:cs="Arial"/>
          <w:szCs w:val="22"/>
          <w:vertAlign w:val="superscript"/>
        </w:rPr>
        <w:t>2</w:t>
      </w:r>
      <w:r w:rsidRPr="006836BA">
        <w:rPr>
          <w:rFonts w:cs="Arial"/>
          <w:szCs w:val="22"/>
        </w:rPr>
        <w:t>=0.56). This is substantially lower than the predictive capacity of the NTG model (test set r</w:t>
      </w:r>
      <w:r w:rsidRPr="002B6E34">
        <w:rPr>
          <w:rFonts w:cs="Arial"/>
          <w:szCs w:val="22"/>
          <w:vertAlign w:val="superscript"/>
        </w:rPr>
        <w:t>2</w:t>
      </w:r>
      <w:r w:rsidRPr="006836BA">
        <w:rPr>
          <w:rFonts w:cs="Arial"/>
          <w:szCs w:val="22"/>
        </w:rPr>
        <w:t>=0.74; Sinclair et al. 2015).  Correlation alone, however, is not a fully informative evaluation of the model, since much of the variation originates in the expert opinion (reducing attainable r</w:t>
      </w:r>
      <w:r w:rsidRPr="002B6E34">
        <w:rPr>
          <w:rFonts w:cs="Arial"/>
          <w:szCs w:val="22"/>
          <w:vertAlign w:val="superscript"/>
        </w:rPr>
        <w:t>2</w:t>
      </w:r>
      <w:r w:rsidRPr="006836BA">
        <w:rPr>
          <w:rFonts w:cs="Arial"/>
          <w:szCs w:val="22"/>
        </w:rPr>
        <w:t>).  It is necessary visualise the predictions in order to fully appreciate model performance.</w:t>
      </w:r>
    </w:p>
    <w:p w:rsidR="00652C52" w:rsidRPr="006836BA" w:rsidRDefault="00652C52" w:rsidP="006836BA">
      <w:pPr>
        <w:spacing w:afterLines="113" w:after="271" w:line="240" w:lineRule="atLeast"/>
        <w:rPr>
          <w:rFonts w:cs="Arial"/>
          <w:szCs w:val="22"/>
        </w:rPr>
      </w:pPr>
      <w:r w:rsidRPr="006836BA">
        <w:rPr>
          <w:rFonts w:cs="Arial"/>
          <w:szCs w:val="22"/>
        </w:rPr>
        <w:t xml:space="preserve">The predictions of the model for both training and test data are shown in Figure 4.  The model generally predicted in the middle of the spread of expert opinion, as was the objective.  Figure 5 shows the model’s evaluation of the held-out test sites. Again, the model performs relatively well, but </w:t>
      </w:r>
      <w:proofErr w:type="spellStart"/>
      <w:r w:rsidRPr="006836BA">
        <w:rPr>
          <w:rFonts w:cs="Arial"/>
          <w:szCs w:val="22"/>
        </w:rPr>
        <w:t>mis</w:t>
      </w:r>
      <w:proofErr w:type="spellEnd"/>
      <w:r w:rsidRPr="006836BA">
        <w:rPr>
          <w:rFonts w:cs="Arial"/>
          <w:szCs w:val="22"/>
        </w:rPr>
        <w:t xml:space="preserve">-ranks several sites and occasionally (7 of 25 predictions) produces scores outside the range of the ‘real’ expert evaluations. </w:t>
      </w:r>
    </w:p>
    <w:p w:rsidR="00652C52" w:rsidRDefault="00652C52" w:rsidP="00652C52"/>
    <w:p w:rsidR="00652C52" w:rsidRPr="005904DC" w:rsidRDefault="00652C52" w:rsidP="00652C52">
      <w:pPr>
        <w:spacing w:line="480" w:lineRule="auto"/>
      </w:pPr>
    </w:p>
    <w:p w:rsidR="00652C52" w:rsidRPr="001D3A06" w:rsidRDefault="00652C52" w:rsidP="00652C52">
      <w:pPr>
        <w:spacing w:line="480" w:lineRule="auto"/>
        <w:jc w:val="center"/>
      </w:pPr>
      <w:r>
        <w:rPr>
          <w:noProof/>
          <w:lang w:eastAsia="en-AU"/>
        </w:rPr>
        <w:lastRenderedPageBreak/>
        <w:drawing>
          <wp:inline distT="0" distB="0" distL="0" distR="0" wp14:anchorId="23681216" wp14:editId="6A8A92AF">
            <wp:extent cx="6227989" cy="2569580"/>
            <wp:effectExtent l="0" t="0" r="190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dataplot.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237234" cy="2573394"/>
                    </a:xfrm>
                    <a:prstGeom prst="rect">
                      <a:avLst/>
                    </a:prstGeom>
                  </pic:spPr>
                </pic:pic>
              </a:graphicData>
            </a:graphic>
          </wp:inline>
        </w:drawing>
      </w:r>
    </w:p>
    <w:p w:rsidR="00652C52" w:rsidRPr="006836BA" w:rsidRDefault="00652C52" w:rsidP="006836BA">
      <w:pPr>
        <w:rPr>
          <w:rFonts w:cs="Arial"/>
          <w:b/>
          <w:color w:val="404040"/>
          <w:sz w:val="20"/>
          <w:szCs w:val="14"/>
        </w:rPr>
      </w:pPr>
      <w:r w:rsidRPr="006836BA">
        <w:rPr>
          <w:rFonts w:cs="Arial"/>
          <w:b/>
          <w:color w:val="404040"/>
          <w:sz w:val="20"/>
          <w:szCs w:val="14"/>
        </w:rPr>
        <w:t>Figure 4. The main panel (a) shows the spread of expert evaluations of 125 synthetic sites, which were randomly allocated to model training (80% of sites, grey circles) or model testing (20% of sites, grey crosses). Model predictions for training and test sites are overlain as black circles. The sites are arranged along the x-axis by ascending order of their mean evaluation score (ties were arbitrarily broken). The right hand panel (b) summarises all 46 expert evaluations of each of the two ‘top’ and two ‘bottom calibration sites.</w:t>
      </w:r>
    </w:p>
    <w:p w:rsidR="00652C52" w:rsidRDefault="00652C52" w:rsidP="00652C52">
      <w:pPr>
        <w:spacing w:line="360" w:lineRule="auto"/>
        <w:rPr>
          <w:b/>
          <w:sz w:val="20"/>
          <w:szCs w:val="20"/>
        </w:rPr>
      </w:pPr>
    </w:p>
    <w:p w:rsidR="00652C52" w:rsidRDefault="00652C52" w:rsidP="00652C52">
      <w:pPr>
        <w:spacing w:line="360" w:lineRule="auto"/>
        <w:jc w:val="center"/>
        <w:rPr>
          <w:b/>
          <w:sz w:val="20"/>
          <w:szCs w:val="20"/>
        </w:rPr>
      </w:pPr>
      <w:r>
        <w:rPr>
          <w:b/>
          <w:noProof/>
          <w:sz w:val="20"/>
          <w:szCs w:val="20"/>
          <w:lang w:eastAsia="en-AU"/>
        </w:rPr>
        <w:drawing>
          <wp:inline distT="0" distB="0" distL="0" distR="0" wp14:anchorId="612A225B" wp14:editId="2874F4A5">
            <wp:extent cx="6253776" cy="247698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testonlyplo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57875" cy="2478607"/>
                    </a:xfrm>
                    <a:prstGeom prst="rect">
                      <a:avLst/>
                    </a:prstGeom>
                  </pic:spPr>
                </pic:pic>
              </a:graphicData>
            </a:graphic>
          </wp:inline>
        </w:drawing>
      </w:r>
    </w:p>
    <w:p w:rsidR="00652C52" w:rsidRDefault="00652C52" w:rsidP="00652C52">
      <w:pPr>
        <w:spacing w:line="360" w:lineRule="auto"/>
        <w:jc w:val="center"/>
        <w:rPr>
          <w:b/>
          <w:sz w:val="20"/>
          <w:szCs w:val="20"/>
        </w:rPr>
      </w:pPr>
    </w:p>
    <w:p w:rsidR="00652C52" w:rsidRPr="006836BA" w:rsidRDefault="00652C52" w:rsidP="006836BA">
      <w:pPr>
        <w:rPr>
          <w:rFonts w:cs="Arial"/>
          <w:b/>
          <w:color w:val="404040"/>
          <w:sz w:val="20"/>
          <w:szCs w:val="14"/>
        </w:rPr>
      </w:pPr>
      <w:r w:rsidRPr="006836BA">
        <w:rPr>
          <w:rFonts w:cs="Arial"/>
          <w:b/>
          <w:color w:val="404040"/>
          <w:sz w:val="20"/>
          <w:szCs w:val="14"/>
        </w:rPr>
        <w:t>Figure 5.  Model predictions for 25 held-out test sites, compared against expert evaluation data. The expert data are shown as grey crosses. The sites are arranged along the x-axis by ascending order of their mean evaluation score (ties were arbitrarily broken). The model predictions for the same sites are shown as black circles.</w:t>
      </w:r>
    </w:p>
    <w:p w:rsidR="00652C52" w:rsidRPr="005904DC" w:rsidRDefault="00652C52" w:rsidP="005850A3">
      <w:pPr>
        <w:pStyle w:val="HB"/>
        <w:rPr>
          <w:rFonts w:ascii="Cambria" w:hAnsi="Cambria" w:cs="Cambria"/>
          <w:b w:val="0"/>
          <w:bCs/>
          <w:color w:val="4F81BD"/>
          <w:sz w:val="26"/>
          <w:szCs w:val="26"/>
        </w:rPr>
      </w:pPr>
      <w:r>
        <w:rPr>
          <w:rFonts w:ascii="Cambria" w:hAnsi="Cambria" w:cs="Cambria"/>
          <w:b w:val="0"/>
          <w:bCs/>
          <w:color w:val="4F81BD"/>
          <w:sz w:val="26"/>
          <w:szCs w:val="26"/>
        </w:rPr>
        <w:br w:type="page"/>
      </w:r>
      <w:bookmarkStart w:id="20" w:name="_Toc443044153"/>
      <w:r w:rsidRPr="005850A3">
        <w:lastRenderedPageBreak/>
        <w:t>Expert sample size</w:t>
      </w:r>
      <w:bookmarkEnd w:id="20"/>
    </w:p>
    <w:p w:rsidR="00652C52" w:rsidRPr="006836BA" w:rsidRDefault="00652C52" w:rsidP="006836BA">
      <w:pPr>
        <w:spacing w:afterLines="113" w:after="271" w:line="240" w:lineRule="atLeast"/>
        <w:rPr>
          <w:rFonts w:cs="Arial"/>
          <w:szCs w:val="22"/>
        </w:rPr>
      </w:pPr>
      <w:r w:rsidRPr="006836BA">
        <w:rPr>
          <w:rFonts w:cs="Arial"/>
          <w:szCs w:val="22"/>
        </w:rPr>
        <w:t>Given the variability in expert opinion (Figure 3), it is likely that small expert samples will produce misleading results. It is important, for each evaluation scenario, to check that the number of experts used wa</w:t>
      </w:r>
      <w:r w:rsidR="00507E14">
        <w:rPr>
          <w:rFonts w:cs="Arial"/>
          <w:szCs w:val="22"/>
        </w:rPr>
        <w:t>s sufficient to produce an adequate</w:t>
      </w:r>
      <w:r w:rsidRPr="006836BA">
        <w:rPr>
          <w:rFonts w:cs="Arial"/>
          <w:szCs w:val="22"/>
        </w:rPr>
        <w:t xml:space="preserve"> set of opinion data for analysis. </w:t>
      </w:r>
    </w:p>
    <w:p w:rsidR="00652C52" w:rsidRPr="006836BA" w:rsidRDefault="00652C52" w:rsidP="006836BA">
      <w:pPr>
        <w:spacing w:afterLines="113" w:after="271" w:line="240" w:lineRule="atLeast"/>
        <w:rPr>
          <w:rFonts w:cs="Arial"/>
          <w:szCs w:val="22"/>
        </w:rPr>
      </w:pPr>
      <w:r w:rsidRPr="006836BA">
        <w:rPr>
          <w:rFonts w:cs="Arial"/>
          <w:szCs w:val="22"/>
        </w:rPr>
        <w:t>Systematic testing of model performance with different numbers of experts show that model performance improved rapidly as the first 2-5 experts were added, continued to improve until the 15th expert was added, but barely improved with the addition of further experts (Figure 6). When fewer experts were chosen, model performance was more volatile, suggesting that both the identity and quantity of the experts selected matters: the more experts, the better, and some experts distort the consensus view being modelled more than others (Figure 6). The results suggest that a sufficient number of experts were used.</w:t>
      </w:r>
    </w:p>
    <w:p w:rsidR="00652C52" w:rsidRPr="00C36DB1" w:rsidRDefault="00652C52" w:rsidP="00652C52">
      <w:pPr>
        <w:spacing w:line="360" w:lineRule="auto"/>
        <w:jc w:val="center"/>
        <w:rPr>
          <w:rFonts w:asciiTheme="minorHAnsi" w:eastAsiaTheme="minorHAnsi" w:hAnsiTheme="minorHAnsi" w:cstheme="minorBidi"/>
          <w:szCs w:val="22"/>
        </w:rPr>
      </w:pPr>
      <w:r>
        <w:rPr>
          <w:rFonts w:ascii="Cambria" w:hAnsi="Cambria" w:cs="Cambria"/>
          <w:b/>
          <w:bCs/>
          <w:noProof/>
          <w:color w:val="4F81BD"/>
          <w:sz w:val="26"/>
          <w:szCs w:val="26"/>
          <w:lang w:eastAsia="en-AU"/>
        </w:rPr>
        <w:drawing>
          <wp:inline distT="0" distB="0" distL="0" distR="0" wp14:anchorId="29DA33E3" wp14:editId="33054C0E">
            <wp:extent cx="4006734" cy="32578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 expert accumulation.png"/>
                    <pic:cNvPicPr/>
                  </pic:nvPicPr>
                  <pic:blipFill>
                    <a:blip r:embed="rId30">
                      <a:extLst>
                        <a:ext uri="{28A0092B-C50C-407E-A947-70E740481C1C}">
                          <a14:useLocalDpi xmlns:a14="http://schemas.microsoft.com/office/drawing/2010/main" val="0"/>
                        </a:ext>
                      </a:extLst>
                    </a:blip>
                    <a:stretch>
                      <a:fillRect/>
                    </a:stretch>
                  </pic:blipFill>
                  <pic:spPr>
                    <a:xfrm>
                      <a:off x="0" y="0"/>
                      <a:ext cx="4013444" cy="3263313"/>
                    </a:xfrm>
                    <a:prstGeom prst="rect">
                      <a:avLst/>
                    </a:prstGeom>
                  </pic:spPr>
                </pic:pic>
              </a:graphicData>
            </a:graphic>
          </wp:inline>
        </w:drawing>
      </w:r>
    </w:p>
    <w:p w:rsidR="00652C52" w:rsidRPr="006836BA" w:rsidRDefault="00652C52" w:rsidP="006836BA">
      <w:pPr>
        <w:rPr>
          <w:rFonts w:cs="Arial"/>
          <w:b/>
          <w:color w:val="404040"/>
          <w:sz w:val="20"/>
          <w:szCs w:val="14"/>
        </w:rPr>
      </w:pPr>
      <w:r w:rsidRPr="006836BA">
        <w:rPr>
          <w:rFonts w:cs="Arial"/>
          <w:b/>
          <w:color w:val="404040"/>
          <w:sz w:val="20"/>
          <w:szCs w:val="14"/>
        </w:rPr>
        <w:t>Figure 6. Model error (RMSE) as increasing numbers of experts are added.  The solid line represents the average RMSE among 100 trials.  The grey area represents the maximum and minimum RMSE among those same trials.</w:t>
      </w:r>
    </w:p>
    <w:p w:rsidR="00652C52" w:rsidRDefault="00652C52" w:rsidP="00652C52">
      <w:pPr>
        <w:rPr>
          <w:rFonts w:ascii="Cambria" w:hAnsi="Cambria" w:cs="Cambria"/>
          <w:b/>
          <w:bCs/>
          <w:color w:val="4F81BD"/>
          <w:sz w:val="26"/>
          <w:szCs w:val="26"/>
        </w:rPr>
      </w:pPr>
      <w:r>
        <w:rPr>
          <w:rFonts w:ascii="Cambria" w:hAnsi="Cambria" w:cs="Cambria"/>
          <w:b/>
          <w:bCs/>
          <w:color w:val="4F81BD"/>
          <w:sz w:val="26"/>
          <w:szCs w:val="26"/>
        </w:rPr>
        <w:br w:type="page"/>
      </w:r>
    </w:p>
    <w:p w:rsidR="00652C52" w:rsidRPr="005850A3" w:rsidRDefault="00652C52" w:rsidP="005850A3">
      <w:pPr>
        <w:pStyle w:val="HB"/>
      </w:pPr>
      <w:bookmarkStart w:id="21" w:name="_Toc443044154"/>
      <w:r w:rsidRPr="005850A3">
        <w:lastRenderedPageBreak/>
        <w:t>Implementation of the model in a spreadsheet</w:t>
      </w:r>
      <w:bookmarkEnd w:id="21"/>
    </w:p>
    <w:p w:rsidR="00652C52" w:rsidRPr="006836BA" w:rsidRDefault="00652C52" w:rsidP="006836BA">
      <w:pPr>
        <w:spacing w:afterLines="113" w:after="271" w:line="240" w:lineRule="atLeast"/>
        <w:rPr>
          <w:rFonts w:cs="Arial"/>
          <w:szCs w:val="22"/>
        </w:rPr>
      </w:pPr>
      <w:r w:rsidRPr="006836BA">
        <w:rPr>
          <w:rFonts w:cs="Arial"/>
          <w:szCs w:val="22"/>
        </w:rPr>
        <w:t>The final ensemble of regression trees is intended to be used on real sites to assist management, and must be as widely accessible as possible.  To ensure that the model can be readily used by any manager, the regression trees have been translated into ‘if then’ statements.  These statements can be used to produce modelled quality scores for GEW, with reference only to a set of input cells on a spreadsheet (such as the commonly-used Microsoft Excel).  These input cells simply record the values for each variable at a given site that is to be evaluated.  The statements required to run the final model in a spreadsheet are included as text in Appendix 3.</w:t>
      </w:r>
    </w:p>
    <w:p w:rsidR="00652C52" w:rsidRDefault="00652C52" w:rsidP="00652C52">
      <w:pPr>
        <w:rPr>
          <w:rFonts w:ascii="Cambria" w:hAnsi="Cambria" w:cs="Cambria"/>
          <w:b/>
          <w:bCs/>
          <w:color w:val="4F81BD"/>
          <w:sz w:val="26"/>
          <w:szCs w:val="26"/>
        </w:rPr>
      </w:pPr>
      <w:r>
        <w:rPr>
          <w:rFonts w:ascii="Cambria" w:hAnsi="Cambria" w:cs="Cambria"/>
          <w:b/>
          <w:bCs/>
          <w:color w:val="4F81BD"/>
          <w:sz w:val="26"/>
          <w:szCs w:val="26"/>
        </w:rPr>
        <w:br w:type="page"/>
      </w:r>
    </w:p>
    <w:p w:rsidR="00652C52" w:rsidRPr="006836BA" w:rsidRDefault="00652C52" w:rsidP="006836BA">
      <w:pPr>
        <w:pStyle w:val="HA"/>
      </w:pPr>
      <w:bookmarkStart w:id="22" w:name="_Toc443044155"/>
      <w:r w:rsidRPr="006836BA">
        <w:lastRenderedPageBreak/>
        <w:t>Discussion</w:t>
      </w:r>
      <w:bookmarkEnd w:id="22"/>
    </w:p>
    <w:p w:rsidR="00652C52" w:rsidRPr="006836BA" w:rsidRDefault="00652C52" w:rsidP="006836BA">
      <w:pPr>
        <w:spacing w:afterLines="113" w:after="271" w:line="240" w:lineRule="atLeast"/>
        <w:rPr>
          <w:rFonts w:cs="Arial"/>
          <w:szCs w:val="22"/>
        </w:rPr>
      </w:pPr>
      <w:r w:rsidRPr="006836BA">
        <w:rPr>
          <w:rFonts w:cs="Arial"/>
          <w:szCs w:val="22"/>
        </w:rPr>
        <w:t>The final model ensemble was able to predict quality scores of synthetic GEW sites mostly within the middle of the range of those scores provided by experts (Figures 3 and 4).  This suggest the model is useful.</w:t>
      </w:r>
    </w:p>
    <w:p w:rsidR="00652C52" w:rsidRPr="00D15713" w:rsidRDefault="00652C52" w:rsidP="006836BA">
      <w:pPr>
        <w:spacing w:afterLines="113" w:after="271" w:line="240" w:lineRule="atLeast"/>
        <w:rPr>
          <w:rFonts w:cs="Arial"/>
          <w:szCs w:val="22"/>
        </w:rPr>
      </w:pPr>
      <w:r w:rsidRPr="006836BA">
        <w:rPr>
          <w:rFonts w:cs="Arial"/>
          <w:szCs w:val="22"/>
        </w:rPr>
        <w:t>It is important to note that the expert opinion set spanned a wide range of ‘specialties’, including animal ecology, botany, vegetation disturbance ecology and land management (Figure 2).  Thus, the metric is a generalist metric that speaks for this wide-ranging community of experts.  It is possible that differently tailored metrics would better suit each particular ‘specialty’.  For example, there may be an optimal metric which speaks for bird experts, which is different from that which speaks for botanists.  Some studies have indeed shown that the identity and affiliation of experts influences their evaluations or estimations (</w:t>
      </w:r>
      <w:proofErr w:type="spellStart"/>
      <w:r w:rsidRPr="006836BA">
        <w:rPr>
          <w:rFonts w:cs="Arial"/>
          <w:szCs w:val="22"/>
        </w:rPr>
        <w:t>Ananda</w:t>
      </w:r>
      <w:proofErr w:type="spellEnd"/>
      <w:r w:rsidRPr="006836BA">
        <w:rPr>
          <w:rFonts w:cs="Arial"/>
          <w:szCs w:val="22"/>
        </w:rPr>
        <w:t xml:space="preserve"> &amp; Hearth 2003; Dolan et al. 2010; Rogers 2013).  Other studies have shown little or no effect, including the grassland quality metric developed for use within the MSA project (Sinclair et al. 2015).  </w:t>
      </w:r>
      <w:r w:rsidRPr="00D15713">
        <w:rPr>
          <w:rFonts w:cs="Arial"/>
          <w:szCs w:val="22"/>
        </w:rPr>
        <w:t xml:space="preserve">Further work could examine the impact of expert ‘specialty’ or affiliation on the performance of the metric, but it seems </w:t>
      </w:r>
      <w:r w:rsidR="00D15713" w:rsidRPr="00D15713">
        <w:rPr>
          <w:rFonts w:cs="Arial"/>
          <w:szCs w:val="22"/>
        </w:rPr>
        <w:t>reasonable that the final metric in the current context speaks for a wide range of experts.</w:t>
      </w:r>
    </w:p>
    <w:p w:rsidR="00652C52" w:rsidRPr="006836BA" w:rsidRDefault="00652C52" w:rsidP="006836BA">
      <w:pPr>
        <w:spacing w:afterLines="113" w:after="271" w:line="240" w:lineRule="atLeast"/>
        <w:rPr>
          <w:rFonts w:cs="Arial"/>
          <w:szCs w:val="22"/>
        </w:rPr>
      </w:pPr>
      <w:r w:rsidRPr="006836BA">
        <w:rPr>
          <w:rFonts w:cs="Arial"/>
          <w:szCs w:val="22"/>
        </w:rPr>
        <w:t>The results of management can be interpreted differently by different stakeholders, and these differing views can lead to controversy and a lack of acceptance by some parties (e.g. Brown and Donovan 2013).  The quality metric described here explicitly seeks to avoid controversy in the evaluation of ecological change. It is inherently inclusive and consultative, and this is directly demonstrable. Provided the relevant stakeholders have been covered in the opinion-set (see Figure 3), a change in quality measured by the metric should be widely accepted by most stakeholders.   Despite this, the predicted scores may sometimes be markedly different from the opinions of certain experts, because the model attempts to find the central tendency of the divergent expert opinion (see Figures 4 and 5).  It is anticipated that such experts will acknowledge and accept the means of derivation (c.f. election results in a democratic state).</w:t>
      </w:r>
    </w:p>
    <w:p w:rsidR="00652C52" w:rsidRPr="006836BA" w:rsidRDefault="00652C52" w:rsidP="006836BA">
      <w:pPr>
        <w:spacing w:afterLines="113" w:after="271" w:line="240" w:lineRule="atLeast"/>
        <w:rPr>
          <w:rFonts w:cs="Arial"/>
          <w:szCs w:val="22"/>
        </w:rPr>
      </w:pPr>
      <w:r w:rsidRPr="006836BA">
        <w:rPr>
          <w:rFonts w:cs="Arial"/>
          <w:szCs w:val="22"/>
        </w:rPr>
        <w:t>It was noted in the introduction that habitat fragmentation is a major factor impacting on the ecology of GEW (Bennett et al. 1994).  The metric presented here does not take into account the area of the site in question.  In the MSA context, this is rarely likely to be important, because the metric is designed to be applied to data from plots of fixed size.  If, however, it was necessary to prioritise the overall quality of sites of different size, it would be necessary to evaluate the relationship between site quality and area.</w:t>
      </w:r>
    </w:p>
    <w:p w:rsidR="00652C52" w:rsidRPr="00750357" w:rsidRDefault="00652C52" w:rsidP="000C5B57">
      <w:pPr>
        <w:pStyle w:val="Caption"/>
        <w:sectPr w:rsidR="00652C52" w:rsidRPr="00750357" w:rsidSect="0024007D">
          <w:headerReference w:type="first" r:id="rId31"/>
          <w:footerReference w:type="first" r:id="rId32"/>
          <w:pgSz w:w="11907" w:h="16840" w:code="9"/>
          <w:pgMar w:top="1134" w:right="1134" w:bottom="1134" w:left="1134" w:header="709" w:footer="567" w:gutter="0"/>
          <w:cols w:space="708"/>
          <w:formProt w:val="0"/>
          <w:titlePg/>
          <w:docGrid w:linePitch="360"/>
        </w:sectPr>
      </w:pPr>
    </w:p>
    <w:p w:rsidR="00750357" w:rsidRDefault="00750357" w:rsidP="00750357">
      <w:pPr>
        <w:pStyle w:val="HA"/>
      </w:pPr>
      <w:bookmarkStart w:id="23" w:name="_Toc443044156"/>
      <w:r>
        <w:lastRenderedPageBreak/>
        <w:t>References</w:t>
      </w:r>
      <w:bookmarkEnd w:id="23"/>
    </w:p>
    <w:p w:rsidR="006661D1" w:rsidRPr="006661D1" w:rsidRDefault="006661D1" w:rsidP="006661D1">
      <w:pPr>
        <w:spacing w:afterLines="113" w:after="271" w:line="240" w:lineRule="atLeast"/>
        <w:rPr>
          <w:rFonts w:cs="Arial"/>
          <w:szCs w:val="22"/>
        </w:rPr>
      </w:pPr>
      <w:proofErr w:type="spellStart"/>
      <w:r w:rsidRPr="006661D1">
        <w:rPr>
          <w:rFonts w:cs="Arial"/>
          <w:szCs w:val="22"/>
        </w:rPr>
        <w:t>Ananda</w:t>
      </w:r>
      <w:proofErr w:type="spellEnd"/>
      <w:r w:rsidRPr="006661D1">
        <w:rPr>
          <w:rFonts w:cs="Arial"/>
          <w:szCs w:val="22"/>
        </w:rPr>
        <w:t xml:space="preserve">, J. &amp; </w:t>
      </w:r>
      <w:proofErr w:type="spellStart"/>
      <w:r w:rsidRPr="006661D1">
        <w:rPr>
          <w:rFonts w:cs="Arial"/>
          <w:szCs w:val="22"/>
        </w:rPr>
        <w:t>Herath</w:t>
      </w:r>
      <w:proofErr w:type="spellEnd"/>
      <w:r w:rsidRPr="006661D1">
        <w:rPr>
          <w:rFonts w:cs="Arial"/>
          <w:szCs w:val="22"/>
        </w:rPr>
        <w:t xml:space="preserve">, G. (2003). Incorporating stakeholder values into regional forest planning: a value function approach. </w:t>
      </w:r>
      <w:r w:rsidRPr="006661D1">
        <w:rPr>
          <w:rFonts w:cs="Arial"/>
          <w:i/>
          <w:szCs w:val="22"/>
        </w:rPr>
        <w:t>Ecological Economics</w:t>
      </w:r>
      <w:r w:rsidRPr="006661D1">
        <w:rPr>
          <w:rFonts w:cs="Arial"/>
          <w:szCs w:val="22"/>
        </w:rPr>
        <w:t>, 45, 75-90.</w:t>
      </w:r>
    </w:p>
    <w:p w:rsidR="006661D1" w:rsidRPr="006661D1" w:rsidRDefault="006661D1" w:rsidP="006661D1">
      <w:pPr>
        <w:spacing w:afterLines="113" w:after="271" w:line="240" w:lineRule="atLeast"/>
        <w:rPr>
          <w:rFonts w:cs="Arial"/>
          <w:szCs w:val="22"/>
        </w:rPr>
      </w:pPr>
      <w:proofErr w:type="spellStart"/>
      <w:r w:rsidRPr="006661D1">
        <w:rPr>
          <w:rFonts w:cs="Arial"/>
          <w:szCs w:val="22"/>
        </w:rPr>
        <w:t>Beardsell</w:t>
      </w:r>
      <w:proofErr w:type="spellEnd"/>
      <w:r w:rsidRPr="006661D1">
        <w:rPr>
          <w:rFonts w:cs="Arial"/>
          <w:szCs w:val="22"/>
        </w:rPr>
        <w:t xml:space="preserve">, C. (1997). The NEROC (North East Regional Organisation of Councils) report: Sites of faunal and habitat significance in the north east of Melbourne. Nillumbik Shire Council, </w:t>
      </w:r>
      <w:proofErr w:type="spellStart"/>
      <w:r w:rsidRPr="006661D1">
        <w:rPr>
          <w:rFonts w:cs="Arial"/>
          <w:szCs w:val="22"/>
        </w:rPr>
        <w:t>Mercuri</w:t>
      </w:r>
      <w:proofErr w:type="spellEnd"/>
      <w:r w:rsidRPr="006661D1">
        <w:rPr>
          <w:rFonts w:cs="Arial"/>
          <w:szCs w:val="22"/>
        </w:rPr>
        <w:t xml:space="preserve"> Media &amp; Penultimate Publication Services.</w:t>
      </w:r>
    </w:p>
    <w:p w:rsidR="006661D1" w:rsidRPr="006661D1" w:rsidRDefault="006661D1" w:rsidP="006661D1">
      <w:pPr>
        <w:spacing w:afterLines="113" w:after="271" w:line="240" w:lineRule="atLeast"/>
        <w:rPr>
          <w:rFonts w:cs="Arial"/>
          <w:szCs w:val="22"/>
        </w:rPr>
      </w:pPr>
      <w:r w:rsidRPr="006661D1">
        <w:rPr>
          <w:rFonts w:cs="Arial"/>
          <w:szCs w:val="22"/>
        </w:rPr>
        <w:t xml:space="preserve">Bennett, A. F., </w:t>
      </w:r>
      <w:proofErr w:type="spellStart"/>
      <w:r w:rsidRPr="006661D1">
        <w:rPr>
          <w:rFonts w:cs="Arial"/>
          <w:szCs w:val="22"/>
        </w:rPr>
        <w:t>Lumsden</w:t>
      </w:r>
      <w:proofErr w:type="spellEnd"/>
      <w:r w:rsidRPr="006661D1">
        <w:rPr>
          <w:rFonts w:cs="Arial"/>
          <w:szCs w:val="22"/>
        </w:rPr>
        <w:t xml:space="preserve">, L. F., &amp; Nicholls, A. O. (1994). Tree hollows as a resource for wildlife in remnant woodlands: spatial and temporal patterns across the northern plains of Victoria, Australia. Pacific </w:t>
      </w:r>
      <w:r w:rsidRPr="006661D1">
        <w:rPr>
          <w:rFonts w:cs="Arial"/>
          <w:i/>
          <w:szCs w:val="22"/>
        </w:rPr>
        <w:t>Conservation Biology</w:t>
      </w:r>
      <w:r w:rsidRPr="006661D1">
        <w:rPr>
          <w:rFonts w:cs="Arial"/>
          <w:szCs w:val="22"/>
        </w:rPr>
        <w:t>, 1(3), 222-235.</w:t>
      </w:r>
    </w:p>
    <w:p w:rsidR="006661D1" w:rsidRPr="006661D1" w:rsidRDefault="006661D1" w:rsidP="006661D1">
      <w:pPr>
        <w:spacing w:afterLines="113" w:after="271" w:line="240" w:lineRule="atLeast"/>
        <w:rPr>
          <w:rFonts w:cs="Arial"/>
          <w:szCs w:val="22"/>
        </w:rPr>
      </w:pPr>
      <w:proofErr w:type="spellStart"/>
      <w:r w:rsidRPr="006661D1">
        <w:rPr>
          <w:rFonts w:cs="Arial"/>
          <w:szCs w:val="22"/>
        </w:rPr>
        <w:t>Blockeel</w:t>
      </w:r>
      <w:proofErr w:type="spellEnd"/>
      <w:r w:rsidRPr="006661D1">
        <w:rPr>
          <w:rFonts w:cs="Arial"/>
          <w:szCs w:val="22"/>
        </w:rPr>
        <w:t xml:space="preserve">, H., De </w:t>
      </w:r>
      <w:proofErr w:type="spellStart"/>
      <w:r w:rsidRPr="006661D1">
        <w:rPr>
          <w:rFonts w:cs="Arial"/>
          <w:szCs w:val="22"/>
        </w:rPr>
        <w:t>Raedt</w:t>
      </w:r>
      <w:proofErr w:type="spellEnd"/>
      <w:r w:rsidRPr="006661D1">
        <w:rPr>
          <w:rFonts w:cs="Arial"/>
          <w:szCs w:val="22"/>
        </w:rPr>
        <w:t xml:space="preserve">, L. &amp; Ramon, J. (1998) Top-down induction of clustering trees. </w:t>
      </w:r>
      <w:r w:rsidRPr="006661D1">
        <w:rPr>
          <w:rFonts w:cs="Arial"/>
          <w:i/>
          <w:szCs w:val="22"/>
        </w:rPr>
        <w:t>Proceedings of the 15th International Conference on Machine Learning</w:t>
      </w:r>
      <w:r w:rsidRPr="006661D1">
        <w:rPr>
          <w:rFonts w:cs="Arial"/>
          <w:szCs w:val="22"/>
        </w:rPr>
        <w:t>, 55-63.</w:t>
      </w:r>
    </w:p>
    <w:p w:rsidR="006661D1" w:rsidRPr="006661D1" w:rsidRDefault="006661D1" w:rsidP="006661D1">
      <w:pPr>
        <w:spacing w:afterLines="113" w:after="271" w:line="240" w:lineRule="atLeast"/>
        <w:rPr>
          <w:rFonts w:cs="Arial"/>
          <w:szCs w:val="22"/>
        </w:rPr>
      </w:pPr>
      <w:proofErr w:type="spellStart"/>
      <w:r w:rsidRPr="006661D1">
        <w:rPr>
          <w:rFonts w:cs="Arial"/>
          <w:szCs w:val="22"/>
        </w:rPr>
        <w:t>Blockeel</w:t>
      </w:r>
      <w:proofErr w:type="spellEnd"/>
      <w:r w:rsidRPr="006661D1">
        <w:rPr>
          <w:rFonts w:cs="Arial"/>
          <w:szCs w:val="22"/>
        </w:rPr>
        <w:t xml:space="preserve">, H., </w:t>
      </w:r>
      <w:proofErr w:type="spellStart"/>
      <w:r w:rsidRPr="006661D1">
        <w:rPr>
          <w:rFonts w:cs="Arial"/>
          <w:szCs w:val="22"/>
        </w:rPr>
        <w:t>Džeroski,S</w:t>
      </w:r>
      <w:proofErr w:type="spellEnd"/>
      <w:r w:rsidRPr="006661D1">
        <w:rPr>
          <w:rFonts w:cs="Arial"/>
          <w:szCs w:val="22"/>
        </w:rPr>
        <w:t xml:space="preserve">. &amp; </w:t>
      </w:r>
      <w:proofErr w:type="spellStart"/>
      <w:r w:rsidRPr="006661D1">
        <w:rPr>
          <w:rFonts w:cs="Arial"/>
          <w:szCs w:val="22"/>
        </w:rPr>
        <w:t>Grbovic</w:t>
      </w:r>
      <w:proofErr w:type="spellEnd"/>
      <w:r w:rsidRPr="006661D1">
        <w:rPr>
          <w:rFonts w:cs="Arial"/>
          <w:szCs w:val="22"/>
        </w:rPr>
        <w:t>, J. (1999) Simultaneous prediction of multiple chemical parameters of river water quality with TILDE, Proceedings of the Third European Conference on Principles of Data Mining and Knowledge Discovery (</w:t>
      </w:r>
      <w:proofErr w:type="spellStart"/>
      <w:r w:rsidRPr="006661D1">
        <w:rPr>
          <w:rFonts w:cs="Arial"/>
          <w:szCs w:val="22"/>
        </w:rPr>
        <w:t>eds</w:t>
      </w:r>
      <w:proofErr w:type="spellEnd"/>
      <w:r w:rsidRPr="006661D1">
        <w:rPr>
          <w:rFonts w:cs="Arial"/>
          <w:szCs w:val="22"/>
        </w:rPr>
        <w:t xml:space="preserve"> </w:t>
      </w:r>
      <w:proofErr w:type="spellStart"/>
      <w:r w:rsidRPr="006661D1">
        <w:rPr>
          <w:rFonts w:cs="Arial"/>
          <w:szCs w:val="22"/>
        </w:rPr>
        <w:t>Zytkow</w:t>
      </w:r>
      <w:proofErr w:type="spellEnd"/>
      <w:r w:rsidRPr="006661D1">
        <w:rPr>
          <w:rFonts w:cs="Arial"/>
          <w:szCs w:val="22"/>
        </w:rPr>
        <w:t>, J.M. and Rauch, J.) 1704, 32-40.</w:t>
      </w:r>
    </w:p>
    <w:p w:rsidR="006661D1" w:rsidRPr="006661D1" w:rsidRDefault="006661D1" w:rsidP="006661D1">
      <w:pPr>
        <w:spacing w:afterLines="113" w:after="271" w:line="240" w:lineRule="atLeast"/>
        <w:rPr>
          <w:rFonts w:cs="Arial"/>
          <w:szCs w:val="22"/>
        </w:rPr>
      </w:pPr>
      <w:proofErr w:type="spellStart"/>
      <w:r w:rsidRPr="006661D1">
        <w:rPr>
          <w:rFonts w:cs="Arial"/>
          <w:szCs w:val="22"/>
        </w:rPr>
        <w:t>Breiman</w:t>
      </w:r>
      <w:proofErr w:type="spellEnd"/>
      <w:r w:rsidRPr="006661D1">
        <w:rPr>
          <w:rFonts w:cs="Arial"/>
          <w:szCs w:val="22"/>
        </w:rPr>
        <w:t xml:space="preserve">, L. (1996) Bagging predictors. </w:t>
      </w:r>
      <w:hyperlink r:id="rId33" w:tooltip="Machine Learning (journal)" w:history="1">
        <w:r w:rsidRPr="006661D1">
          <w:rPr>
            <w:rFonts w:cs="Arial"/>
            <w:i/>
            <w:szCs w:val="22"/>
          </w:rPr>
          <w:t>Machine Learning</w:t>
        </w:r>
      </w:hyperlink>
      <w:r w:rsidRPr="006661D1">
        <w:rPr>
          <w:rFonts w:cs="Arial"/>
          <w:szCs w:val="22"/>
        </w:rPr>
        <w:t xml:space="preserve">, 24(2), 123-140. </w:t>
      </w:r>
    </w:p>
    <w:p w:rsidR="006661D1" w:rsidRPr="006661D1" w:rsidRDefault="006661D1" w:rsidP="006661D1">
      <w:pPr>
        <w:spacing w:afterLines="113" w:after="271" w:line="240" w:lineRule="atLeast"/>
        <w:rPr>
          <w:rFonts w:cs="Arial"/>
          <w:szCs w:val="22"/>
        </w:rPr>
      </w:pPr>
      <w:proofErr w:type="spellStart"/>
      <w:r w:rsidRPr="006661D1">
        <w:rPr>
          <w:rFonts w:cs="Arial"/>
          <w:szCs w:val="22"/>
        </w:rPr>
        <w:t>Breiman</w:t>
      </w:r>
      <w:proofErr w:type="spellEnd"/>
      <w:r w:rsidRPr="006661D1">
        <w:rPr>
          <w:rFonts w:cs="Arial"/>
          <w:szCs w:val="22"/>
        </w:rPr>
        <w:t xml:space="preserve">, L, Friedman, J., </w:t>
      </w:r>
      <w:proofErr w:type="spellStart"/>
      <w:r w:rsidRPr="006661D1">
        <w:rPr>
          <w:rFonts w:cs="Arial"/>
          <w:szCs w:val="22"/>
        </w:rPr>
        <w:t>Olshen</w:t>
      </w:r>
      <w:proofErr w:type="spellEnd"/>
      <w:r w:rsidRPr="006661D1">
        <w:rPr>
          <w:rFonts w:cs="Arial"/>
          <w:szCs w:val="22"/>
        </w:rPr>
        <w:t>. R., &amp; Stone, C. (1984) Classification and Regression Trees. Chapman &amp; Hall, New York.</w:t>
      </w:r>
    </w:p>
    <w:p w:rsidR="006661D1" w:rsidRPr="006661D1" w:rsidRDefault="006661D1" w:rsidP="006661D1">
      <w:pPr>
        <w:spacing w:afterLines="113" w:after="271" w:line="240" w:lineRule="atLeast"/>
        <w:rPr>
          <w:rFonts w:cs="Arial"/>
          <w:szCs w:val="22"/>
        </w:rPr>
      </w:pPr>
      <w:r w:rsidRPr="006661D1">
        <w:rPr>
          <w:rFonts w:cs="Arial"/>
          <w:szCs w:val="22"/>
        </w:rPr>
        <w:t xml:space="preserve">Brown, G. G., &amp; Donovan, S. (2013) Escaping the National Forest Planning Quagmire: Using Public Participation GIS to Assess Acceptable National Forest Use. </w:t>
      </w:r>
      <w:r w:rsidRPr="006661D1">
        <w:rPr>
          <w:rFonts w:cs="Arial"/>
          <w:i/>
          <w:szCs w:val="22"/>
        </w:rPr>
        <w:t>Journal of Forestry</w:t>
      </w:r>
      <w:r w:rsidRPr="006661D1">
        <w:rPr>
          <w:rFonts w:cs="Arial"/>
          <w:szCs w:val="22"/>
        </w:rPr>
        <w:t>, 111, 115-125.</w:t>
      </w:r>
    </w:p>
    <w:p w:rsidR="006661D1" w:rsidRPr="006661D1" w:rsidRDefault="006661D1" w:rsidP="006661D1">
      <w:pPr>
        <w:spacing w:afterLines="113" w:after="271" w:line="240" w:lineRule="atLeast"/>
        <w:rPr>
          <w:rFonts w:cs="Arial"/>
          <w:szCs w:val="22"/>
        </w:rPr>
      </w:pPr>
      <w:proofErr w:type="spellStart"/>
      <w:r w:rsidRPr="006661D1">
        <w:rPr>
          <w:rFonts w:cs="Arial"/>
          <w:szCs w:val="22"/>
        </w:rPr>
        <w:t>Coupland</w:t>
      </w:r>
      <w:proofErr w:type="spellEnd"/>
      <w:r w:rsidRPr="006661D1">
        <w:rPr>
          <w:rFonts w:cs="Arial"/>
          <w:szCs w:val="22"/>
        </w:rPr>
        <w:t xml:space="preserve"> RT (1979) The nature of grassland. In: RT </w:t>
      </w:r>
      <w:proofErr w:type="spellStart"/>
      <w:r w:rsidRPr="006661D1">
        <w:rPr>
          <w:rFonts w:cs="Arial"/>
          <w:szCs w:val="22"/>
        </w:rPr>
        <w:t>Coupland</w:t>
      </w:r>
      <w:proofErr w:type="spellEnd"/>
      <w:r w:rsidRPr="006661D1">
        <w:rPr>
          <w:rFonts w:cs="Arial"/>
          <w:szCs w:val="22"/>
        </w:rPr>
        <w:t xml:space="preserve"> (ed.) Grassland ecosystems of the world, pp. 23-30. Cambridge University Press, Cambridge, UK.</w:t>
      </w:r>
    </w:p>
    <w:p w:rsidR="00A311B0" w:rsidRDefault="00A311B0" w:rsidP="006661D1">
      <w:pPr>
        <w:spacing w:afterLines="113" w:after="271" w:line="240" w:lineRule="atLeast"/>
        <w:rPr>
          <w:rFonts w:cs="Arial"/>
          <w:szCs w:val="22"/>
        </w:rPr>
      </w:pPr>
      <w:r>
        <w:rPr>
          <w:rFonts w:cs="Arial"/>
          <w:szCs w:val="22"/>
        </w:rPr>
        <w:t xml:space="preserve">DELWP (2015) </w:t>
      </w:r>
      <w:r w:rsidRPr="00A311B0">
        <w:rPr>
          <w:rFonts w:cs="Arial"/>
          <w:szCs w:val="22"/>
        </w:rPr>
        <w:t>Monitoring and Reporting Framework: Technical</w:t>
      </w:r>
      <w:r>
        <w:rPr>
          <w:rFonts w:cs="Arial"/>
          <w:szCs w:val="22"/>
        </w:rPr>
        <w:t xml:space="preserve"> Protocols for Program Outcomes. </w:t>
      </w:r>
      <w:r w:rsidRPr="006661D1">
        <w:rPr>
          <w:rFonts w:cs="Arial"/>
          <w:szCs w:val="22"/>
        </w:rPr>
        <w:t>Department of Environment</w:t>
      </w:r>
      <w:r>
        <w:rPr>
          <w:rFonts w:cs="Arial"/>
          <w:szCs w:val="22"/>
        </w:rPr>
        <w:t>, Land, Water and Planning</w:t>
      </w:r>
      <w:r w:rsidRPr="006661D1">
        <w:rPr>
          <w:rFonts w:cs="Arial"/>
          <w:szCs w:val="22"/>
        </w:rPr>
        <w:t>, Melbourne, Victoria.</w:t>
      </w:r>
    </w:p>
    <w:p w:rsidR="006661D1" w:rsidRPr="006661D1" w:rsidRDefault="006661D1" w:rsidP="006661D1">
      <w:pPr>
        <w:spacing w:afterLines="113" w:after="271" w:line="240" w:lineRule="atLeast"/>
        <w:rPr>
          <w:rFonts w:cs="Arial"/>
          <w:szCs w:val="22"/>
        </w:rPr>
      </w:pPr>
      <w:r w:rsidRPr="006661D1">
        <w:rPr>
          <w:rFonts w:cs="Arial"/>
          <w:szCs w:val="22"/>
        </w:rPr>
        <w:t>DEPI (2013) Biodiversity Conservation Strategy for Melbourne's Growth Corridors. Department of Environment and Primary Industries, Melbourne, Victoria.</w:t>
      </w:r>
    </w:p>
    <w:p w:rsidR="006661D1" w:rsidRPr="006661D1" w:rsidRDefault="006661D1" w:rsidP="006661D1">
      <w:pPr>
        <w:spacing w:afterLines="113" w:after="271" w:line="240" w:lineRule="atLeast"/>
        <w:rPr>
          <w:rFonts w:cs="Arial"/>
          <w:szCs w:val="22"/>
        </w:rPr>
      </w:pPr>
      <w:proofErr w:type="spellStart"/>
      <w:r w:rsidRPr="006661D1">
        <w:rPr>
          <w:rFonts w:cs="Arial"/>
          <w:szCs w:val="22"/>
        </w:rPr>
        <w:t>Donlan</w:t>
      </w:r>
      <w:proofErr w:type="spellEnd"/>
      <w:r w:rsidRPr="006661D1">
        <w:rPr>
          <w:rFonts w:cs="Arial"/>
          <w:szCs w:val="22"/>
        </w:rPr>
        <w:t xml:space="preserve">, C., Wingfield, D. K., Crowder, L. B. &amp; Wilcox, C. (2010). Using expert opinion surveys to rank threats to endangered species: a case study with sea turtles. </w:t>
      </w:r>
      <w:r w:rsidRPr="006661D1">
        <w:rPr>
          <w:rFonts w:cs="Arial"/>
          <w:i/>
          <w:szCs w:val="22"/>
        </w:rPr>
        <w:t>Conservation Biology</w:t>
      </w:r>
      <w:r w:rsidRPr="006661D1">
        <w:rPr>
          <w:rFonts w:cs="Arial"/>
          <w:szCs w:val="22"/>
        </w:rPr>
        <w:t>, 24, 1586-1595.</w:t>
      </w:r>
    </w:p>
    <w:p w:rsidR="006661D1" w:rsidRPr="006661D1" w:rsidRDefault="006661D1" w:rsidP="006661D1">
      <w:pPr>
        <w:spacing w:afterLines="113" w:after="271" w:line="240" w:lineRule="atLeast"/>
        <w:rPr>
          <w:rFonts w:cs="Arial"/>
          <w:szCs w:val="22"/>
        </w:rPr>
      </w:pPr>
      <w:proofErr w:type="spellStart"/>
      <w:r w:rsidRPr="006661D1">
        <w:rPr>
          <w:rFonts w:cs="Arial"/>
          <w:szCs w:val="22"/>
        </w:rPr>
        <w:t>Dorrough</w:t>
      </w:r>
      <w:proofErr w:type="spellEnd"/>
      <w:r w:rsidRPr="006661D1">
        <w:rPr>
          <w:rFonts w:cs="Arial"/>
          <w:szCs w:val="22"/>
        </w:rPr>
        <w:t xml:space="preserve">, J., Yen, A., Turner, V., Clark, S.G., Crosthwaite, J. &amp; </w:t>
      </w:r>
      <w:proofErr w:type="spellStart"/>
      <w:r w:rsidRPr="006661D1">
        <w:rPr>
          <w:rFonts w:cs="Arial"/>
          <w:szCs w:val="22"/>
        </w:rPr>
        <w:t>Hirth</w:t>
      </w:r>
      <w:proofErr w:type="spellEnd"/>
      <w:r w:rsidRPr="006661D1">
        <w:rPr>
          <w:rFonts w:cs="Arial"/>
          <w:szCs w:val="22"/>
        </w:rPr>
        <w:t xml:space="preserve">, J.R. (2004) Livestock grazing management and biodiversity conservation in Australian temperate grassy landscapes. </w:t>
      </w:r>
      <w:r w:rsidRPr="006661D1">
        <w:rPr>
          <w:rFonts w:cs="Arial"/>
          <w:i/>
          <w:szCs w:val="22"/>
        </w:rPr>
        <w:t>Australian Journal of Agricultural Research</w:t>
      </w:r>
      <w:r>
        <w:rPr>
          <w:rFonts w:cs="Arial"/>
          <w:szCs w:val="22"/>
        </w:rPr>
        <w:t>,</w:t>
      </w:r>
      <w:r w:rsidRPr="006661D1">
        <w:rPr>
          <w:rFonts w:cs="Arial"/>
          <w:szCs w:val="22"/>
        </w:rPr>
        <w:t xml:space="preserve"> 55, 279-295.</w:t>
      </w:r>
    </w:p>
    <w:p w:rsidR="006661D1" w:rsidRPr="006661D1" w:rsidRDefault="006661D1" w:rsidP="006661D1">
      <w:pPr>
        <w:spacing w:afterLines="113" w:after="271" w:line="240" w:lineRule="atLeast"/>
        <w:rPr>
          <w:rFonts w:cs="Arial"/>
          <w:szCs w:val="22"/>
        </w:rPr>
      </w:pPr>
      <w:proofErr w:type="spellStart"/>
      <w:r w:rsidRPr="006661D1">
        <w:rPr>
          <w:rFonts w:cs="Arial"/>
          <w:szCs w:val="22"/>
        </w:rPr>
        <w:t>Dorrough</w:t>
      </w:r>
      <w:proofErr w:type="spellEnd"/>
      <w:r w:rsidRPr="006661D1">
        <w:rPr>
          <w:rFonts w:cs="Arial"/>
          <w:szCs w:val="22"/>
        </w:rPr>
        <w:t xml:space="preserve">, J., McIntyre, S. &amp; </w:t>
      </w:r>
      <w:proofErr w:type="spellStart"/>
      <w:r w:rsidRPr="006661D1">
        <w:rPr>
          <w:rFonts w:cs="Arial"/>
          <w:szCs w:val="22"/>
        </w:rPr>
        <w:t>Scroggie</w:t>
      </w:r>
      <w:proofErr w:type="spellEnd"/>
      <w:r w:rsidRPr="006661D1">
        <w:rPr>
          <w:rFonts w:cs="Arial"/>
          <w:szCs w:val="22"/>
        </w:rPr>
        <w:t xml:space="preserve">, M. P. (2011) Individual plant species responses to phosphorus and livestock grazing. </w:t>
      </w:r>
      <w:r w:rsidRPr="006661D1">
        <w:rPr>
          <w:rFonts w:cs="Arial"/>
          <w:i/>
          <w:szCs w:val="22"/>
        </w:rPr>
        <w:t>Australian Journal of Botany</w:t>
      </w:r>
      <w:r w:rsidRPr="006661D1">
        <w:rPr>
          <w:rFonts w:cs="Arial"/>
          <w:szCs w:val="22"/>
        </w:rPr>
        <w:t>, 59, 670-681.</w:t>
      </w:r>
    </w:p>
    <w:p w:rsidR="006661D1" w:rsidRPr="006661D1" w:rsidRDefault="006661D1" w:rsidP="006661D1">
      <w:pPr>
        <w:spacing w:afterLines="113" w:after="271" w:line="240" w:lineRule="atLeast"/>
        <w:rPr>
          <w:rFonts w:cs="Arial"/>
          <w:szCs w:val="22"/>
        </w:rPr>
      </w:pPr>
      <w:proofErr w:type="spellStart"/>
      <w:r w:rsidRPr="006661D1">
        <w:rPr>
          <w:rFonts w:cs="Arial"/>
          <w:szCs w:val="22"/>
        </w:rPr>
        <w:t>Dorrough</w:t>
      </w:r>
      <w:proofErr w:type="spellEnd"/>
      <w:r w:rsidRPr="006661D1">
        <w:rPr>
          <w:rFonts w:cs="Arial"/>
          <w:szCs w:val="22"/>
        </w:rPr>
        <w:t xml:space="preserve"> J, </w:t>
      </w:r>
      <w:proofErr w:type="spellStart"/>
      <w:r w:rsidRPr="006661D1">
        <w:rPr>
          <w:rFonts w:cs="Arial"/>
          <w:szCs w:val="22"/>
        </w:rPr>
        <w:t>Scroggie</w:t>
      </w:r>
      <w:proofErr w:type="spellEnd"/>
      <w:r w:rsidRPr="006661D1">
        <w:rPr>
          <w:rFonts w:cs="Arial"/>
          <w:szCs w:val="22"/>
        </w:rPr>
        <w:t xml:space="preserve"> MP (2008) Plant responses to agricultural intensification. </w:t>
      </w:r>
      <w:r w:rsidRPr="006661D1">
        <w:rPr>
          <w:rFonts w:cs="Arial"/>
          <w:i/>
          <w:szCs w:val="22"/>
        </w:rPr>
        <w:t>Journal of Applied Ecology</w:t>
      </w:r>
      <w:r>
        <w:rPr>
          <w:rFonts w:cs="Arial"/>
          <w:szCs w:val="22"/>
        </w:rPr>
        <w:t>,</w:t>
      </w:r>
      <w:r w:rsidRPr="006661D1">
        <w:rPr>
          <w:rFonts w:cs="Arial"/>
          <w:szCs w:val="22"/>
        </w:rPr>
        <w:t xml:space="preserve"> 45, 1274-1283.</w:t>
      </w:r>
    </w:p>
    <w:p w:rsidR="006661D1" w:rsidRPr="006661D1" w:rsidRDefault="006661D1" w:rsidP="006661D1">
      <w:pPr>
        <w:spacing w:afterLines="113" w:after="271" w:line="240" w:lineRule="atLeast"/>
        <w:rPr>
          <w:rFonts w:cs="Arial"/>
          <w:szCs w:val="22"/>
        </w:rPr>
      </w:pPr>
      <w:r w:rsidRPr="006661D1">
        <w:rPr>
          <w:rFonts w:cs="Arial"/>
          <w:szCs w:val="22"/>
        </w:rPr>
        <w:lastRenderedPageBreak/>
        <w:t xml:space="preserve">DSEWPAC (2011) Nationally Threatened Ecological Communities of the Victorian Volcanic Plain: Natural Temperate Grassland &amp; Grassy Eucalypt Woodland. A guide to the identification, assessment and management of nationally threatened ecological communities Environment Protection and Biodiversity Conservation Act 1999. Department of Sustainability, </w:t>
      </w:r>
      <w:proofErr w:type="spellStart"/>
      <w:r w:rsidRPr="006661D1">
        <w:rPr>
          <w:rFonts w:cs="Arial"/>
          <w:szCs w:val="22"/>
        </w:rPr>
        <w:t>Environnment</w:t>
      </w:r>
      <w:proofErr w:type="spellEnd"/>
      <w:r w:rsidRPr="006661D1">
        <w:rPr>
          <w:rFonts w:cs="Arial"/>
          <w:szCs w:val="22"/>
        </w:rPr>
        <w:t>, Water, Population and Communities, Canberra, ACT.</w:t>
      </w:r>
    </w:p>
    <w:p w:rsidR="006661D1" w:rsidRPr="006661D1" w:rsidRDefault="006661D1" w:rsidP="006661D1">
      <w:pPr>
        <w:spacing w:afterLines="113" w:after="271" w:line="240" w:lineRule="atLeast"/>
        <w:rPr>
          <w:rFonts w:cs="Arial"/>
          <w:szCs w:val="22"/>
        </w:rPr>
      </w:pPr>
      <w:r w:rsidRPr="006661D1">
        <w:rPr>
          <w:rFonts w:cs="Arial"/>
          <w:szCs w:val="22"/>
        </w:rPr>
        <w:t xml:space="preserve">Fowler, N. L., &amp; Simmons, M. T. (2009). </w:t>
      </w:r>
      <w:proofErr w:type="spellStart"/>
      <w:r w:rsidRPr="006661D1">
        <w:rPr>
          <w:rFonts w:cs="Arial"/>
          <w:szCs w:val="22"/>
        </w:rPr>
        <w:t>Savanna</w:t>
      </w:r>
      <w:proofErr w:type="spellEnd"/>
      <w:r w:rsidRPr="006661D1">
        <w:rPr>
          <w:rFonts w:cs="Arial"/>
          <w:szCs w:val="22"/>
        </w:rPr>
        <w:t xml:space="preserve"> dynamics in central Texas: just succession? </w:t>
      </w:r>
      <w:r w:rsidRPr="006661D1">
        <w:rPr>
          <w:rFonts w:cs="Arial"/>
          <w:i/>
          <w:szCs w:val="22"/>
        </w:rPr>
        <w:t>Applied Vegetation Science</w:t>
      </w:r>
      <w:r>
        <w:rPr>
          <w:rFonts w:cs="Arial"/>
          <w:szCs w:val="22"/>
        </w:rPr>
        <w:t>, 12</w:t>
      </w:r>
      <w:r w:rsidRPr="006661D1">
        <w:rPr>
          <w:rFonts w:cs="Arial"/>
          <w:szCs w:val="22"/>
        </w:rPr>
        <w:t>, 23-31.</w:t>
      </w:r>
    </w:p>
    <w:p w:rsidR="006661D1" w:rsidRPr="006661D1" w:rsidRDefault="006661D1" w:rsidP="006661D1">
      <w:pPr>
        <w:spacing w:afterLines="113" w:after="271" w:line="240" w:lineRule="atLeast"/>
        <w:rPr>
          <w:rFonts w:cs="Arial"/>
          <w:szCs w:val="22"/>
        </w:rPr>
      </w:pPr>
      <w:proofErr w:type="spellStart"/>
      <w:r w:rsidRPr="006661D1">
        <w:rPr>
          <w:rFonts w:cs="Arial"/>
          <w:szCs w:val="22"/>
        </w:rPr>
        <w:t>Hahs</w:t>
      </w:r>
      <w:proofErr w:type="spellEnd"/>
      <w:r w:rsidRPr="006661D1">
        <w:rPr>
          <w:rFonts w:cs="Arial"/>
          <w:szCs w:val="22"/>
        </w:rPr>
        <w:t xml:space="preserve">, A. K., &amp; McDonnell, M. J. (2007). Composition of the plant community in remnant patches of grassy woodland along an urban–rural gradient in Melbourne, Australia. </w:t>
      </w:r>
      <w:r w:rsidRPr="006661D1">
        <w:rPr>
          <w:rFonts w:cs="Arial"/>
          <w:i/>
          <w:szCs w:val="22"/>
        </w:rPr>
        <w:t>Urban Ecosystems</w:t>
      </w:r>
      <w:r w:rsidRPr="006661D1">
        <w:rPr>
          <w:rFonts w:cs="Arial"/>
          <w:szCs w:val="22"/>
        </w:rPr>
        <w:t>, 10(4), 355-377</w:t>
      </w:r>
    </w:p>
    <w:p w:rsidR="006661D1" w:rsidRPr="006661D1" w:rsidRDefault="006661D1" w:rsidP="006661D1">
      <w:pPr>
        <w:spacing w:afterLines="113" w:after="271" w:line="240" w:lineRule="atLeast"/>
        <w:rPr>
          <w:rFonts w:cs="Arial"/>
          <w:szCs w:val="22"/>
        </w:rPr>
      </w:pPr>
      <w:proofErr w:type="spellStart"/>
      <w:r w:rsidRPr="006661D1">
        <w:rPr>
          <w:rFonts w:cs="Arial"/>
          <w:szCs w:val="22"/>
        </w:rPr>
        <w:t>Hateley</w:t>
      </w:r>
      <w:proofErr w:type="spellEnd"/>
      <w:r w:rsidRPr="006661D1">
        <w:rPr>
          <w:rFonts w:cs="Arial"/>
          <w:szCs w:val="22"/>
        </w:rPr>
        <w:t xml:space="preserve">, R. (2010) The Victorian Bush, its ‘original and natural’ condition. </w:t>
      </w:r>
      <w:proofErr w:type="spellStart"/>
      <w:r w:rsidRPr="006661D1">
        <w:rPr>
          <w:rFonts w:cs="Arial"/>
          <w:szCs w:val="22"/>
        </w:rPr>
        <w:t>Polybractea</w:t>
      </w:r>
      <w:proofErr w:type="spellEnd"/>
      <w:r w:rsidRPr="006661D1">
        <w:rPr>
          <w:rFonts w:cs="Arial"/>
          <w:szCs w:val="22"/>
        </w:rPr>
        <w:t xml:space="preserve"> Press, South Melbourne.</w:t>
      </w:r>
    </w:p>
    <w:p w:rsidR="006661D1" w:rsidRPr="006661D1" w:rsidRDefault="006661D1" w:rsidP="006661D1">
      <w:pPr>
        <w:spacing w:afterLines="113" w:after="271" w:line="240" w:lineRule="atLeast"/>
        <w:rPr>
          <w:rFonts w:cs="Arial"/>
          <w:szCs w:val="22"/>
        </w:rPr>
      </w:pPr>
      <w:r w:rsidRPr="006661D1">
        <w:rPr>
          <w:rFonts w:cs="Arial"/>
          <w:szCs w:val="22"/>
        </w:rPr>
        <w:t>Hoddle, R. (1839) Untitled map [Parish of Kalkallo].  Public Records Office of Victoria collection ‘Sydney K2.’</w:t>
      </w:r>
    </w:p>
    <w:p w:rsidR="006661D1" w:rsidRPr="006661D1" w:rsidRDefault="006661D1" w:rsidP="006661D1">
      <w:pPr>
        <w:spacing w:afterLines="113" w:after="271" w:line="240" w:lineRule="atLeast"/>
        <w:rPr>
          <w:rFonts w:cs="Arial"/>
          <w:szCs w:val="22"/>
        </w:rPr>
      </w:pPr>
      <w:r w:rsidRPr="006661D1">
        <w:rPr>
          <w:rFonts w:cs="Arial"/>
          <w:szCs w:val="22"/>
        </w:rPr>
        <w:t xml:space="preserve">Howitt, W. (1855) Land, </w:t>
      </w:r>
      <w:proofErr w:type="spellStart"/>
      <w:r w:rsidRPr="006661D1">
        <w:rPr>
          <w:rFonts w:cs="Arial"/>
          <w:szCs w:val="22"/>
        </w:rPr>
        <w:t>labor</w:t>
      </w:r>
      <w:proofErr w:type="spellEnd"/>
      <w:r w:rsidRPr="006661D1">
        <w:rPr>
          <w:rFonts w:cs="Arial"/>
          <w:szCs w:val="22"/>
        </w:rPr>
        <w:t xml:space="preserve"> and gold: or two years in Victoria, with visits to Sydney and Van Diemen’s Land. Longman, Brown, Green and Longmans, London.</w:t>
      </w:r>
    </w:p>
    <w:p w:rsidR="006661D1" w:rsidRPr="006661D1" w:rsidRDefault="006661D1" w:rsidP="006661D1">
      <w:pPr>
        <w:spacing w:afterLines="113" w:after="271" w:line="240" w:lineRule="atLeast"/>
        <w:rPr>
          <w:rFonts w:cs="Arial"/>
          <w:szCs w:val="22"/>
        </w:rPr>
      </w:pPr>
      <w:r w:rsidRPr="006661D1">
        <w:rPr>
          <w:rFonts w:cs="Arial"/>
          <w:szCs w:val="22"/>
        </w:rPr>
        <w:t>Kearney, J. (1853). Map of small sections in the Parish of Wallan Wallan.  Public Records Office of Victoria collection, ‘Features Plan 376.’</w:t>
      </w:r>
    </w:p>
    <w:p w:rsidR="006661D1" w:rsidRPr="006661D1" w:rsidRDefault="006661D1" w:rsidP="006661D1">
      <w:pPr>
        <w:spacing w:afterLines="113" w:after="271" w:line="240" w:lineRule="atLeast"/>
        <w:rPr>
          <w:rFonts w:cs="Arial"/>
          <w:szCs w:val="22"/>
        </w:rPr>
      </w:pPr>
      <w:r w:rsidRPr="006661D1">
        <w:rPr>
          <w:rFonts w:cs="Arial"/>
          <w:szCs w:val="22"/>
        </w:rPr>
        <w:t xml:space="preserve">Keith, D. &amp; </w:t>
      </w:r>
      <w:proofErr w:type="spellStart"/>
      <w:r w:rsidRPr="006661D1">
        <w:rPr>
          <w:rFonts w:cs="Arial"/>
          <w:szCs w:val="22"/>
        </w:rPr>
        <w:t>Gorrod</w:t>
      </w:r>
      <w:proofErr w:type="spellEnd"/>
      <w:r w:rsidRPr="006661D1">
        <w:rPr>
          <w:rFonts w:cs="Arial"/>
          <w:szCs w:val="22"/>
        </w:rPr>
        <w:t xml:space="preserve">, E. (2006) The meanings of vegetation condition. </w:t>
      </w:r>
      <w:r w:rsidRPr="006661D1">
        <w:rPr>
          <w:rFonts w:cs="Arial"/>
          <w:i/>
          <w:szCs w:val="22"/>
        </w:rPr>
        <w:t>Ecological Management &amp; Restoration</w:t>
      </w:r>
      <w:r w:rsidRPr="006661D1">
        <w:rPr>
          <w:rFonts w:cs="Arial"/>
          <w:szCs w:val="22"/>
        </w:rPr>
        <w:t>, 7, S7-S9.</w:t>
      </w:r>
    </w:p>
    <w:p w:rsidR="006661D1" w:rsidRPr="006661D1" w:rsidRDefault="006661D1" w:rsidP="006661D1">
      <w:pPr>
        <w:spacing w:afterLines="113" w:after="271" w:line="240" w:lineRule="atLeast"/>
        <w:rPr>
          <w:rFonts w:cs="Arial"/>
          <w:szCs w:val="22"/>
        </w:rPr>
      </w:pPr>
      <w:r w:rsidRPr="006661D1">
        <w:rPr>
          <w:rFonts w:cs="Arial"/>
          <w:szCs w:val="22"/>
        </w:rPr>
        <w:t xml:space="preserve">Kim, K., &amp; Park, J. (2009) A survey of applications of artificial intelligence algorithms in eco-environmental modelling. </w:t>
      </w:r>
      <w:r w:rsidRPr="006661D1">
        <w:rPr>
          <w:rFonts w:cs="Arial"/>
          <w:i/>
          <w:szCs w:val="22"/>
        </w:rPr>
        <w:t>Environmental Engineering Research</w:t>
      </w:r>
      <w:r w:rsidRPr="006661D1">
        <w:rPr>
          <w:rFonts w:cs="Arial"/>
          <w:szCs w:val="22"/>
        </w:rPr>
        <w:t>, 14, 102-110</w:t>
      </w:r>
    </w:p>
    <w:p w:rsidR="006661D1" w:rsidRPr="006661D1" w:rsidRDefault="006661D1" w:rsidP="006661D1">
      <w:pPr>
        <w:spacing w:afterLines="113" w:after="271" w:line="240" w:lineRule="atLeast"/>
        <w:rPr>
          <w:rFonts w:cs="Arial"/>
          <w:szCs w:val="22"/>
        </w:rPr>
      </w:pPr>
      <w:r w:rsidRPr="006661D1">
        <w:rPr>
          <w:rFonts w:cs="Arial"/>
          <w:szCs w:val="22"/>
        </w:rPr>
        <w:t xml:space="preserve">Lunt, I.D., Eldridge, D.J., Morgan, J.W., Witt, G.B. (2007) Turner review no. 13: A framework to predict the effects of livestock grazing and grazing exclusion on conservation values in natural ecosystems in Australia. </w:t>
      </w:r>
      <w:r w:rsidRPr="006661D1">
        <w:rPr>
          <w:rFonts w:cs="Arial"/>
          <w:i/>
          <w:szCs w:val="22"/>
        </w:rPr>
        <w:t>Australian Journal of Botany</w:t>
      </w:r>
      <w:r>
        <w:rPr>
          <w:rFonts w:cs="Arial"/>
          <w:szCs w:val="22"/>
        </w:rPr>
        <w:t>,</w:t>
      </w:r>
      <w:r w:rsidRPr="006661D1">
        <w:rPr>
          <w:rFonts w:cs="Arial"/>
          <w:szCs w:val="22"/>
        </w:rPr>
        <w:t xml:space="preserve"> 55, 401-415.</w:t>
      </w:r>
    </w:p>
    <w:p w:rsidR="006661D1" w:rsidRPr="006661D1" w:rsidRDefault="006661D1" w:rsidP="006661D1">
      <w:pPr>
        <w:spacing w:afterLines="113" w:after="271" w:line="240" w:lineRule="atLeast"/>
        <w:rPr>
          <w:rFonts w:cs="Arial"/>
          <w:szCs w:val="22"/>
        </w:rPr>
      </w:pPr>
      <w:r w:rsidRPr="006661D1">
        <w:rPr>
          <w:rFonts w:cs="Arial"/>
          <w:szCs w:val="22"/>
        </w:rPr>
        <w:t xml:space="preserve">Mac </w:t>
      </w:r>
      <w:proofErr w:type="spellStart"/>
      <w:r w:rsidRPr="006661D1">
        <w:rPr>
          <w:rFonts w:cs="Arial"/>
          <w:szCs w:val="22"/>
        </w:rPr>
        <w:t>Nally</w:t>
      </w:r>
      <w:proofErr w:type="spellEnd"/>
      <w:r w:rsidRPr="006661D1">
        <w:rPr>
          <w:rFonts w:cs="Arial"/>
          <w:szCs w:val="22"/>
        </w:rPr>
        <w:t xml:space="preserve">, R., Parkinson, A., </w:t>
      </w:r>
      <w:proofErr w:type="spellStart"/>
      <w:r w:rsidRPr="006661D1">
        <w:rPr>
          <w:rFonts w:cs="Arial"/>
          <w:szCs w:val="22"/>
        </w:rPr>
        <w:t>Horrocks</w:t>
      </w:r>
      <w:proofErr w:type="spellEnd"/>
      <w:r w:rsidRPr="006661D1">
        <w:rPr>
          <w:rFonts w:cs="Arial"/>
          <w:szCs w:val="22"/>
        </w:rPr>
        <w:t xml:space="preserve">, G., </w:t>
      </w:r>
      <w:proofErr w:type="spellStart"/>
      <w:r w:rsidRPr="006661D1">
        <w:rPr>
          <w:rFonts w:cs="Arial"/>
          <w:szCs w:val="22"/>
        </w:rPr>
        <w:t>Conole</w:t>
      </w:r>
      <w:proofErr w:type="spellEnd"/>
      <w:r w:rsidRPr="006661D1">
        <w:rPr>
          <w:rFonts w:cs="Arial"/>
          <w:szCs w:val="22"/>
        </w:rPr>
        <w:t xml:space="preserve">, L., &amp; </w:t>
      </w:r>
      <w:proofErr w:type="spellStart"/>
      <w:r w:rsidRPr="006661D1">
        <w:rPr>
          <w:rFonts w:cs="Arial"/>
          <w:szCs w:val="22"/>
        </w:rPr>
        <w:t>Tzaros</w:t>
      </w:r>
      <w:proofErr w:type="spellEnd"/>
      <w:r w:rsidRPr="006661D1">
        <w:rPr>
          <w:rFonts w:cs="Arial"/>
          <w:szCs w:val="22"/>
        </w:rPr>
        <w:t xml:space="preserve">, C. (2001). Relationships between terrestrial vertebrate diversity, abundance and availability of coarse woody debris on south-eastern Australian floodplains. </w:t>
      </w:r>
      <w:r w:rsidRPr="006661D1">
        <w:rPr>
          <w:rFonts w:cs="Arial"/>
          <w:i/>
          <w:szCs w:val="22"/>
        </w:rPr>
        <w:t>Biological Conservation</w:t>
      </w:r>
      <w:r w:rsidRPr="006661D1">
        <w:rPr>
          <w:rFonts w:cs="Arial"/>
          <w:szCs w:val="22"/>
        </w:rPr>
        <w:t>, 99(2), 191-205.</w:t>
      </w:r>
    </w:p>
    <w:p w:rsidR="006661D1" w:rsidRPr="006661D1" w:rsidRDefault="006661D1" w:rsidP="006661D1">
      <w:pPr>
        <w:spacing w:afterLines="113" w:after="271" w:line="240" w:lineRule="atLeast"/>
        <w:rPr>
          <w:rFonts w:cs="Arial"/>
          <w:szCs w:val="22"/>
        </w:rPr>
      </w:pPr>
      <w:r w:rsidRPr="006661D1">
        <w:rPr>
          <w:rFonts w:cs="Arial"/>
          <w:szCs w:val="22"/>
        </w:rPr>
        <w:t xml:space="preserve">McLaren, D. A., </w:t>
      </w:r>
      <w:proofErr w:type="spellStart"/>
      <w:r w:rsidRPr="006661D1">
        <w:rPr>
          <w:rFonts w:cs="Arial"/>
          <w:szCs w:val="22"/>
        </w:rPr>
        <w:t>Stajsic</w:t>
      </w:r>
      <w:proofErr w:type="spellEnd"/>
      <w:r w:rsidRPr="006661D1">
        <w:rPr>
          <w:rFonts w:cs="Arial"/>
          <w:szCs w:val="22"/>
        </w:rPr>
        <w:t xml:space="preserve">, V., &amp; Gardener, M. R. (1998). The distribution and impact of South/North American </w:t>
      </w:r>
      <w:proofErr w:type="spellStart"/>
      <w:r w:rsidRPr="006661D1">
        <w:rPr>
          <w:rFonts w:cs="Arial"/>
          <w:szCs w:val="22"/>
        </w:rPr>
        <w:t>stipoid</w:t>
      </w:r>
      <w:proofErr w:type="spellEnd"/>
      <w:r w:rsidRPr="006661D1">
        <w:rPr>
          <w:rFonts w:cs="Arial"/>
          <w:szCs w:val="22"/>
        </w:rPr>
        <w:t xml:space="preserve"> grasses (</w:t>
      </w:r>
      <w:proofErr w:type="spellStart"/>
      <w:r w:rsidRPr="006661D1">
        <w:rPr>
          <w:rFonts w:cs="Arial"/>
          <w:szCs w:val="22"/>
        </w:rPr>
        <w:t>Poaceae</w:t>
      </w:r>
      <w:proofErr w:type="spellEnd"/>
      <w:r w:rsidRPr="006661D1">
        <w:rPr>
          <w:rFonts w:cs="Arial"/>
          <w:szCs w:val="22"/>
        </w:rPr>
        <w:t xml:space="preserve">: </w:t>
      </w:r>
      <w:proofErr w:type="spellStart"/>
      <w:r w:rsidRPr="006661D1">
        <w:rPr>
          <w:rFonts w:cs="Arial"/>
          <w:szCs w:val="22"/>
        </w:rPr>
        <w:t>Stipeae</w:t>
      </w:r>
      <w:proofErr w:type="spellEnd"/>
      <w:r w:rsidRPr="006661D1">
        <w:rPr>
          <w:rFonts w:cs="Arial"/>
          <w:szCs w:val="22"/>
        </w:rPr>
        <w:t xml:space="preserve">) in Australia. </w:t>
      </w:r>
      <w:r w:rsidRPr="006661D1">
        <w:rPr>
          <w:rFonts w:cs="Arial"/>
          <w:i/>
          <w:szCs w:val="22"/>
        </w:rPr>
        <w:t>Plant Protection Quarterly</w:t>
      </w:r>
      <w:r w:rsidRPr="006661D1">
        <w:rPr>
          <w:rFonts w:cs="Arial"/>
          <w:szCs w:val="22"/>
        </w:rPr>
        <w:t>, 13(2), 62-70.</w:t>
      </w:r>
    </w:p>
    <w:p w:rsidR="006661D1" w:rsidRPr="006661D1" w:rsidRDefault="006661D1" w:rsidP="006661D1">
      <w:pPr>
        <w:spacing w:afterLines="113" w:after="271" w:line="240" w:lineRule="atLeast"/>
        <w:rPr>
          <w:rFonts w:cs="Arial"/>
          <w:szCs w:val="22"/>
        </w:rPr>
      </w:pPr>
      <w:r w:rsidRPr="006661D1">
        <w:rPr>
          <w:rFonts w:cs="Arial"/>
          <w:szCs w:val="22"/>
        </w:rPr>
        <w:t xml:space="preserve">Mills, L. S., </w:t>
      </w:r>
      <w:proofErr w:type="spellStart"/>
      <w:r w:rsidRPr="006661D1">
        <w:rPr>
          <w:rFonts w:cs="Arial"/>
          <w:szCs w:val="22"/>
        </w:rPr>
        <w:t>Soulé</w:t>
      </w:r>
      <w:proofErr w:type="spellEnd"/>
      <w:r w:rsidRPr="006661D1">
        <w:rPr>
          <w:rFonts w:cs="Arial"/>
          <w:szCs w:val="22"/>
        </w:rPr>
        <w:t xml:space="preserve">, M. E. &amp; </w:t>
      </w:r>
      <w:proofErr w:type="spellStart"/>
      <w:r w:rsidRPr="006661D1">
        <w:rPr>
          <w:rFonts w:cs="Arial"/>
          <w:szCs w:val="22"/>
        </w:rPr>
        <w:t>Doak</w:t>
      </w:r>
      <w:proofErr w:type="spellEnd"/>
      <w:r w:rsidRPr="006661D1">
        <w:rPr>
          <w:rFonts w:cs="Arial"/>
          <w:szCs w:val="22"/>
        </w:rPr>
        <w:t xml:space="preserve">, D. F. (1993) The keystone-species concept in ecology and conservation. </w:t>
      </w:r>
      <w:proofErr w:type="spellStart"/>
      <w:r w:rsidRPr="006661D1">
        <w:rPr>
          <w:rFonts w:cs="Arial"/>
          <w:i/>
          <w:szCs w:val="22"/>
        </w:rPr>
        <w:t>BioScience</w:t>
      </w:r>
      <w:proofErr w:type="spellEnd"/>
      <w:r w:rsidRPr="006661D1">
        <w:rPr>
          <w:rFonts w:cs="Arial"/>
          <w:szCs w:val="22"/>
        </w:rPr>
        <w:t>, 219-224.</w:t>
      </w:r>
    </w:p>
    <w:p w:rsidR="00E7227A" w:rsidRDefault="00E7227A" w:rsidP="006661D1">
      <w:pPr>
        <w:spacing w:afterLines="113" w:after="271" w:line="240" w:lineRule="atLeast"/>
        <w:rPr>
          <w:rFonts w:cs="Arial"/>
          <w:szCs w:val="22"/>
        </w:rPr>
      </w:pPr>
      <w:r w:rsidRPr="0009049D">
        <w:rPr>
          <w:rFonts w:cs="Arial"/>
          <w:szCs w:val="22"/>
        </w:rPr>
        <w:t xml:space="preserve">Oliver, I. (2002). An expert panel-based approach to the assessment of vegetation condition within the context of biodiversity conservation: Stage 1: the identification of condition indicators. </w:t>
      </w:r>
      <w:r w:rsidRPr="0009049D">
        <w:rPr>
          <w:rFonts w:cs="Arial"/>
          <w:i/>
          <w:szCs w:val="22"/>
        </w:rPr>
        <w:t>Ecological Indicators</w:t>
      </w:r>
      <w:r w:rsidRPr="0009049D">
        <w:rPr>
          <w:rFonts w:cs="Arial"/>
          <w:szCs w:val="22"/>
        </w:rPr>
        <w:t>, 2(3), 223-237</w:t>
      </w:r>
    </w:p>
    <w:p w:rsidR="006661D1" w:rsidRPr="006661D1" w:rsidRDefault="006661D1" w:rsidP="006661D1">
      <w:pPr>
        <w:spacing w:afterLines="113" w:after="271" w:line="240" w:lineRule="atLeast"/>
        <w:rPr>
          <w:rFonts w:cs="Arial"/>
          <w:szCs w:val="22"/>
        </w:rPr>
      </w:pPr>
      <w:proofErr w:type="spellStart"/>
      <w:r w:rsidRPr="006661D1">
        <w:rPr>
          <w:rFonts w:cs="Arial"/>
          <w:szCs w:val="22"/>
        </w:rPr>
        <w:t>Parkes</w:t>
      </w:r>
      <w:proofErr w:type="spellEnd"/>
      <w:r w:rsidRPr="006661D1">
        <w:rPr>
          <w:rFonts w:cs="Arial"/>
          <w:szCs w:val="22"/>
        </w:rPr>
        <w:t xml:space="preserve">, D., Newell, G. &amp; </w:t>
      </w:r>
      <w:proofErr w:type="spellStart"/>
      <w:r w:rsidRPr="006661D1">
        <w:rPr>
          <w:rFonts w:cs="Arial"/>
          <w:szCs w:val="22"/>
        </w:rPr>
        <w:t>Cheal</w:t>
      </w:r>
      <w:proofErr w:type="spellEnd"/>
      <w:r w:rsidRPr="006661D1">
        <w:rPr>
          <w:rFonts w:cs="Arial"/>
          <w:szCs w:val="22"/>
        </w:rPr>
        <w:t xml:space="preserve">, D. (2003) Assessing the quality of native vegetation: the ‘habitat hectares’ approach. </w:t>
      </w:r>
      <w:r w:rsidRPr="006661D1">
        <w:rPr>
          <w:rFonts w:cs="Arial"/>
          <w:i/>
          <w:szCs w:val="22"/>
        </w:rPr>
        <w:t>Ecological Management &amp; Restoration</w:t>
      </w:r>
      <w:r w:rsidRPr="006661D1">
        <w:rPr>
          <w:rFonts w:cs="Arial"/>
          <w:szCs w:val="22"/>
        </w:rPr>
        <w:t>, 4, S29-S38.</w:t>
      </w:r>
    </w:p>
    <w:p w:rsidR="006661D1" w:rsidRPr="006661D1" w:rsidRDefault="006661D1" w:rsidP="006661D1">
      <w:pPr>
        <w:spacing w:afterLines="113" w:after="271" w:line="240" w:lineRule="atLeast"/>
        <w:rPr>
          <w:rFonts w:cs="Arial"/>
          <w:szCs w:val="22"/>
        </w:rPr>
      </w:pPr>
      <w:r w:rsidRPr="006661D1">
        <w:rPr>
          <w:rFonts w:cs="Arial"/>
          <w:szCs w:val="22"/>
        </w:rPr>
        <w:t xml:space="preserve">Prober, S. M. &amp; Lunt, I. D. (2009) Restoration of </w:t>
      </w:r>
      <w:proofErr w:type="spellStart"/>
      <w:r w:rsidRPr="002A6775">
        <w:rPr>
          <w:rFonts w:cs="Arial"/>
          <w:i/>
          <w:szCs w:val="22"/>
        </w:rPr>
        <w:t>Themeda</w:t>
      </w:r>
      <w:proofErr w:type="spellEnd"/>
      <w:r w:rsidRPr="002A6775">
        <w:rPr>
          <w:rFonts w:cs="Arial"/>
          <w:i/>
          <w:szCs w:val="22"/>
        </w:rPr>
        <w:t xml:space="preserve"> </w:t>
      </w:r>
      <w:proofErr w:type="spellStart"/>
      <w:r w:rsidRPr="002A6775">
        <w:rPr>
          <w:rFonts w:cs="Arial"/>
          <w:i/>
          <w:szCs w:val="22"/>
        </w:rPr>
        <w:t>australis</w:t>
      </w:r>
      <w:proofErr w:type="spellEnd"/>
      <w:r w:rsidRPr="006661D1">
        <w:rPr>
          <w:rFonts w:cs="Arial"/>
          <w:szCs w:val="22"/>
        </w:rPr>
        <w:t xml:space="preserve"> swards suppresses soil nitrate and enhances ecological resistance to invasion by exotic annuals. </w:t>
      </w:r>
      <w:r w:rsidRPr="006661D1">
        <w:rPr>
          <w:rFonts w:cs="Arial"/>
          <w:i/>
          <w:szCs w:val="22"/>
        </w:rPr>
        <w:t>Biological invasions</w:t>
      </w:r>
      <w:r w:rsidRPr="006661D1">
        <w:rPr>
          <w:rFonts w:cs="Arial"/>
          <w:szCs w:val="22"/>
        </w:rPr>
        <w:t>, 11, 171-181.</w:t>
      </w:r>
    </w:p>
    <w:p w:rsidR="006661D1" w:rsidRPr="006661D1" w:rsidRDefault="006661D1" w:rsidP="006661D1">
      <w:pPr>
        <w:spacing w:afterLines="113" w:after="271" w:line="240" w:lineRule="atLeast"/>
        <w:rPr>
          <w:rFonts w:cs="Arial"/>
          <w:szCs w:val="22"/>
        </w:rPr>
      </w:pPr>
      <w:r w:rsidRPr="006661D1">
        <w:rPr>
          <w:rFonts w:cs="Arial"/>
          <w:szCs w:val="22"/>
        </w:rPr>
        <w:lastRenderedPageBreak/>
        <w:t xml:space="preserve">Rayner, L., Ellis, M., &amp; Taylor, J. E. (2014). Hollow occurrence and abundance varies with tree characteristics and among species in temperate woodland Eucalyptus. </w:t>
      </w:r>
      <w:r w:rsidRPr="006661D1">
        <w:rPr>
          <w:rFonts w:cs="Arial"/>
          <w:i/>
          <w:szCs w:val="22"/>
        </w:rPr>
        <w:t>Austral Ecology</w:t>
      </w:r>
      <w:r w:rsidRPr="006661D1">
        <w:rPr>
          <w:rFonts w:cs="Arial"/>
          <w:szCs w:val="22"/>
        </w:rPr>
        <w:t>, 39(2), 145-157</w:t>
      </w:r>
    </w:p>
    <w:p w:rsidR="006661D1" w:rsidRPr="006661D1" w:rsidRDefault="006661D1" w:rsidP="006661D1">
      <w:pPr>
        <w:spacing w:afterLines="113" w:after="271" w:line="240" w:lineRule="atLeast"/>
        <w:rPr>
          <w:rFonts w:cs="Arial"/>
          <w:szCs w:val="22"/>
        </w:rPr>
      </w:pPr>
      <w:r w:rsidRPr="006661D1">
        <w:rPr>
          <w:rFonts w:cs="Arial"/>
          <w:szCs w:val="22"/>
        </w:rPr>
        <w:t xml:space="preserve">R Development Core Team (2014). R: A language and environment for statistical computing. R Foundation for Statistical Computing, Vienna, Austria. URL </w:t>
      </w:r>
      <w:hyperlink r:id="rId34" w:history="1">
        <w:r w:rsidRPr="006661D1">
          <w:rPr>
            <w:rFonts w:cs="Arial"/>
            <w:szCs w:val="22"/>
          </w:rPr>
          <w:t>http://www.R-project.org/</w:t>
        </w:r>
      </w:hyperlink>
      <w:r w:rsidRPr="006661D1">
        <w:rPr>
          <w:rFonts w:cs="Arial"/>
          <w:szCs w:val="22"/>
        </w:rPr>
        <w:t xml:space="preserve"> [accessed 11 July 2014].</w:t>
      </w:r>
    </w:p>
    <w:p w:rsidR="006661D1" w:rsidRPr="006661D1" w:rsidRDefault="006661D1" w:rsidP="006661D1">
      <w:pPr>
        <w:spacing w:afterLines="113" w:after="271" w:line="240" w:lineRule="atLeast"/>
        <w:rPr>
          <w:rFonts w:cs="Arial"/>
          <w:szCs w:val="22"/>
        </w:rPr>
      </w:pPr>
      <w:r w:rsidRPr="006661D1">
        <w:rPr>
          <w:rFonts w:cs="Arial"/>
          <w:szCs w:val="22"/>
        </w:rPr>
        <w:t xml:space="preserve">Rogers, A. A. 2013. Public and expert preference divergence: evidence from a choice experiment of marine reserves in Australia. </w:t>
      </w:r>
      <w:r w:rsidRPr="006661D1">
        <w:rPr>
          <w:rFonts w:cs="Arial"/>
          <w:i/>
          <w:szCs w:val="22"/>
        </w:rPr>
        <w:t>Land Economics</w:t>
      </w:r>
      <w:r>
        <w:rPr>
          <w:rFonts w:cs="Arial"/>
          <w:i/>
          <w:szCs w:val="22"/>
        </w:rPr>
        <w:t>,</w:t>
      </w:r>
      <w:r w:rsidRPr="006661D1">
        <w:rPr>
          <w:rFonts w:cs="Arial"/>
          <w:szCs w:val="22"/>
        </w:rPr>
        <w:t xml:space="preserve"> 89, 346–370.</w:t>
      </w:r>
    </w:p>
    <w:p w:rsidR="006661D1" w:rsidRPr="006661D1" w:rsidRDefault="006661D1" w:rsidP="006661D1">
      <w:pPr>
        <w:spacing w:afterLines="113" w:after="271" w:line="240" w:lineRule="atLeast"/>
        <w:rPr>
          <w:rFonts w:cs="Arial"/>
          <w:szCs w:val="22"/>
        </w:rPr>
      </w:pPr>
      <w:proofErr w:type="spellStart"/>
      <w:r w:rsidRPr="006661D1">
        <w:rPr>
          <w:rFonts w:cs="Arial"/>
          <w:szCs w:val="22"/>
        </w:rPr>
        <w:t>Sankaran</w:t>
      </w:r>
      <w:proofErr w:type="spellEnd"/>
      <w:r w:rsidRPr="006661D1">
        <w:rPr>
          <w:rFonts w:cs="Arial"/>
          <w:szCs w:val="22"/>
        </w:rPr>
        <w:t xml:space="preserve"> M., </w:t>
      </w:r>
      <w:proofErr w:type="spellStart"/>
      <w:r w:rsidRPr="006661D1">
        <w:rPr>
          <w:rFonts w:cs="Arial"/>
          <w:szCs w:val="22"/>
        </w:rPr>
        <w:t>Ratnam</w:t>
      </w:r>
      <w:proofErr w:type="spellEnd"/>
      <w:r w:rsidRPr="006661D1">
        <w:rPr>
          <w:rFonts w:cs="Arial"/>
          <w:szCs w:val="22"/>
        </w:rPr>
        <w:t xml:space="preserve">, J. &amp; </w:t>
      </w:r>
      <w:proofErr w:type="spellStart"/>
      <w:r w:rsidRPr="006661D1">
        <w:rPr>
          <w:rFonts w:cs="Arial"/>
          <w:szCs w:val="22"/>
        </w:rPr>
        <w:t>Hanan</w:t>
      </w:r>
      <w:proofErr w:type="spellEnd"/>
      <w:r w:rsidRPr="006661D1">
        <w:rPr>
          <w:rFonts w:cs="Arial"/>
          <w:szCs w:val="22"/>
        </w:rPr>
        <w:t xml:space="preserve">, N.P. (2004) tree-grass </w:t>
      </w:r>
      <w:proofErr w:type="spellStart"/>
      <w:r w:rsidRPr="006661D1">
        <w:rPr>
          <w:rFonts w:cs="Arial"/>
          <w:szCs w:val="22"/>
        </w:rPr>
        <w:t>coextistence</w:t>
      </w:r>
      <w:proofErr w:type="spellEnd"/>
      <w:r w:rsidRPr="006661D1">
        <w:rPr>
          <w:rFonts w:cs="Arial"/>
          <w:szCs w:val="22"/>
        </w:rPr>
        <w:t xml:space="preserve"> in </w:t>
      </w:r>
      <w:proofErr w:type="spellStart"/>
      <w:r w:rsidRPr="006661D1">
        <w:rPr>
          <w:rFonts w:cs="Arial"/>
          <w:szCs w:val="22"/>
        </w:rPr>
        <w:t>savannas</w:t>
      </w:r>
      <w:proofErr w:type="spellEnd"/>
      <w:r w:rsidRPr="006661D1">
        <w:rPr>
          <w:rFonts w:cs="Arial"/>
          <w:szCs w:val="22"/>
        </w:rPr>
        <w:t xml:space="preserve"> revisited – insights from an examination of assumptions and mechanisms invoked in existing models.  </w:t>
      </w:r>
      <w:r w:rsidRPr="006661D1">
        <w:rPr>
          <w:rFonts w:cs="Arial"/>
          <w:i/>
          <w:szCs w:val="22"/>
        </w:rPr>
        <w:t>Ecology Letters</w:t>
      </w:r>
      <w:r>
        <w:rPr>
          <w:rFonts w:cs="Arial"/>
          <w:i/>
          <w:szCs w:val="22"/>
        </w:rPr>
        <w:t>,</w:t>
      </w:r>
      <w:r w:rsidRPr="006661D1">
        <w:rPr>
          <w:rFonts w:cs="Arial"/>
          <w:szCs w:val="22"/>
        </w:rPr>
        <w:t xml:space="preserve"> 7, 480-490.</w:t>
      </w:r>
    </w:p>
    <w:p w:rsidR="006661D1" w:rsidRPr="006661D1" w:rsidRDefault="006661D1" w:rsidP="006661D1">
      <w:pPr>
        <w:spacing w:afterLines="113" w:after="271" w:line="240" w:lineRule="atLeast"/>
        <w:rPr>
          <w:rFonts w:cs="Arial"/>
          <w:szCs w:val="22"/>
        </w:rPr>
      </w:pPr>
      <w:r w:rsidRPr="006661D1">
        <w:rPr>
          <w:rFonts w:cs="Arial"/>
          <w:szCs w:val="22"/>
        </w:rPr>
        <w:t xml:space="preserve">Sinclair, S.J., </w:t>
      </w:r>
      <w:proofErr w:type="spellStart"/>
      <w:r w:rsidRPr="006661D1">
        <w:rPr>
          <w:rFonts w:cs="Arial"/>
          <w:szCs w:val="22"/>
        </w:rPr>
        <w:t>Griffioen</w:t>
      </w:r>
      <w:proofErr w:type="spellEnd"/>
      <w:r w:rsidRPr="006661D1">
        <w:rPr>
          <w:rFonts w:cs="Arial"/>
          <w:szCs w:val="22"/>
        </w:rPr>
        <w:t xml:space="preserve">, P., Duncan, D.H., Millett-Riley, J.E. &amp; White, M.D. (2015). Quantifying ecosystem quality by </w:t>
      </w:r>
      <w:proofErr w:type="spellStart"/>
      <w:r w:rsidRPr="006661D1">
        <w:rPr>
          <w:rFonts w:cs="Arial"/>
          <w:szCs w:val="22"/>
        </w:rPr>
        <w:t>modeling</w:t>
      </w:r>
      <w:proofErr w:type="spellEnd"/>
      <w:r w:rsidRPr="006661D1">
        <w:rPr>
          <w:rFonts w:cs="Arial"/>
          <w:szCs w:val="22"/>
        </w:rPr>
        <w:t xml:space="preserve"> multi-attribute expert opinion.  </w:t>
      </w:r>
      <w:r w:rsidRPr="006661D1">
        <w:rPr>
          <w:rFonts w:cs="Arial"/>
          <w:i/>
          <w:szCs w:val="22"/>
        </w:rPr>
        <w:t>Ecological Applications</w:t>
      </w:r>
      <w:r w:rsidRPr="006661D1">
        <w:rPr>
          <w:rFonts w:cs="Arial"/>
          <w:szCs w:val="22"/>
        </w:rPr>
        <w:t>, 26, 1463-1477.</w:t>
      </w:r>
    </w:p>
    <w:p w:rsidR="006661D1" w:rsidRPr="006661D1" w:rsidRDefault="006661D1" w:rsidP="006661D1">
      <w:pPr>
        <w:spacing w:afterLines="113" w:after="271" w:line="240" w:lineRule="atLeast"/>
        <w:rPr>
          <w:rFonts w:cs="Arial"/>
          <w:szCs w:val="22"/>
        </w:rPr>
      </w:pPr>
      <w:proofErr w:type="spellStart"/>
      <w:r w:rsidRPr="006661D1">
        <w:rPr>
          <w:rFonts w:cs="Arial"/>
          <w:szCs w:val="22"/>
        </w:rPr>
        <w:t>Skarpe</w:t>
      </w:r>
      <w:proofErr w:type="spellEnd"/>
      <w:r w:rsidRPr="006661D1">
        <w:rPr>
          <w:rFonts w:cs="Arial"/>
          <w:szCs w:val="22"/>
        </w:rPr>
        <w:t xml:space="preserve">, C. (1992). Dynamics of </w:t>
      </w:r>
      <w:proofErr w:type="spellStart"/>
      <w:r w:rsidRPr="006661D1">
        <w:rPr>
          <w:rFonts w:cs="Arial"/>
          <w:szCs w:val="22"/>
        </w:rPr>
        <w:t>savanna</w:t>
      </w:r>
      <w:proofErr w:type="spellEnd"/>
      <w:r w:rsidRPr="006661D1">
        <w:rPr>
          <w:rFonts w:cs="Arial"/>
          <w:szCs w:val="22"/>
        </w:rPr>
        <w:t xml:space="preserve"> ecosystems. </w:t>
      </w:r>
      <w:r>
        <w:rPr>
          <w:rFonts w:cs="Arial"/>
          <w:szCs w:val="22"/>
        </w:rPr>
        <w:t xml:space="preserve"> </w:t>
      </w:r>
      <w:r w:rsidRPr="006661D1">
        <w:rPr>
          <w:rFonts w:cs="Arial"/>
          <w:i/>
          <w:szCs w:val="22"/>
        </w:rPr>
        <w:t>Journal of Vegetation Science</w:t>
      </w:r>
      <w:r w:rsidRPr="006661D1">
        <w:rPr>
          <w:rFonts w:cs="Arial"/>
          <w:szCs w:val="22"/>
        </w:rPr>
        <w:t>, 293-300.</w:t>
      </w:r>
    </w:p>
    <w:p w:rsidR="006661D1" w:rsidRPr="006661D1" w:rsidRDefault="006661D1" w:rsidP="006661D1">
      <w:pPr>
        <w:spacing w:afterLines="113" w:after="271" w:line="240" w:lineRule="atLeast"/>
        <w:rPr>
          <w:rFonts w:cs="Arial"/>
          <w:szCs w:val="22"/>
        </w:rPr>
      </w:pPr>
      <w:r w:rsidRPr="006661D1">
        <w:rPr>
          <w:rFonts w:cs="Arial"/>
          <w:szCs w:val="22"/>
        </w:rPr>
        <w:t xml:space="preserve">Stock, W.D. &amp; </w:t>
      </w:r>
      <w:proofErr w:type="spellStart"/>
      <w:r w:rsidRPr="006661D1">
        <w:rPr>
          <w:rFonts w:cs="Arial"/>
          <w:szCs w:val="22"/>
        </w:rPr>
        <w:t>Verboom</w:t>
      </w:r>
      <w:proofErr w:type="spellEnd"/>
      <w:r w:rsidRPr="006661D1">
        <w:rPr>
          <w:rFonts w:cs="Arial"/>
          <w:szCs w:val="22"/>
        </w:rPr>
        <w:t xml:space="preserve">, G.A. (2012) Phylogenetic ecology of foliar N and P concentrations and N:P ratios across </w:t>
      </w:r>
      <w:proofErr w:type="spellStart"/>
      <w:r w:rsidRPr="006661D1">
        <w:rPr>
          <w:rFonts w:cs="Arial"/>
          <w:szCs w:val="22"/>
        </w:rPr>
        <w:t>mediterranean</w:t>
      </w:r>
      <w:proofErr w:type="spellEnd"/>
      <w:r w:rsidRPr="006661D1">
        <w:rPr>
          <w:rFonts w:cs="Arial"/>
          <w:szCs w:val="22"/>
        </w:rPr>
        <w:t xml:space="preserve">-type ecosystems. </w:t>
      </w:r>
      <w:r w:rsidRPr="006661D1">
        <w:rPr>
          <w:rFonts w:cs="Arial"/>
          <w:i/>
          <w:szCs w:val="22"/>
        </w:rPr>
        <w:t>Global Ecology and Biogeography</w:t>
      </w:r>
      <w:r>
        <w:rPr>
          <w:rFonts w:cs="Arial"/>
          <w:i/>
          <w:szCs w:val="22"/>
        </w:rPr>
        <w:t>,</w:t>
      </w:r>
      <w:r w:rsidRPr="006661D1">
        <w:rPr>
          <w:rFonts w:cs="Arial"/>
          <w:szCs w:val="22"/>
        </w:rPr>
        <w:t xml:space="preserve"> 21, 1147-1156.</w:t>
      </w:r>
    </w:p>
    <w:p w:rsidR="006661D1" w:rsidRPr="006661D1" w:rsidRDefault="006661D1" w:rsidP="006661D1">
      <w:pPr>
        <w:spacing w:afterLines="113" w:after="271" w:line="240" w:lineRule="atLeast"/>
        <w:rPr>
          <w:rFonts w:cs="Arial"/>
          <w:szCs w:val="22"/>
        </w:rPr>
      </w:pPr>
      <w:proofErr w:type="spellStart"/>
      <w:r w:rsidRPr="006661D1">
        <w:rPr>
          <w:rFonts w:cs="Arial"/>
          <w:szCs w:val="22"/>
        </w:rPr>
        <w:t>Stuwe</w:t>
      </w:r>
      <w:proofErr w:type="spellEnd"/>
      <w:r w:rsidRPr="006661D1">
        <w:rPr>
          <w:rFonts w:cs="Arial"/>
          <w:szCs w:val="22"/>
        </w:rPr>
        <w:t xml:space="preserve">, J. &amp; Parsons, R.F. (1977) </w:t>
      </w:r>
      <w:proofErr w:type="spellStart"/>
      <w:r w:rsidRPr="006661D1">
        <w:rPr>
          <w:rFonts w:cs="Arial"/>
          <w:szCs w:val="22"/>
        </w:rPr>
        <w:t>Themeda</w:t>
      </w:r>
      <w:proofErr w:type="spellEnd"/>
      <w:r w:rsidRPr="006661D1">
        <w:rPr>
          <w:rFonts w:cs="Arial"/>
          <w:szCs w:val="22"/>
        </w:rPr>
        <w:t xml:space="preserve"> </w:t>
      </w:r>
      <w:proofErr w:type="spellStart"/>
      <w:r w:rsidRPr="006661D1">
        <w:rPr>
          <w:rFonts w:cs="Arial"/>
          <w:szCs w:val="22"/>
        </w:rPr>
        <w:t>australis</w:t>
      </w:r>
      <w:proofErr w:type="spellEnd"/>
      <w:r w:rsidRPr="006661D1">
        <w:rPr>
          <w:rFonts w:cs="Arial"/>
          <w:szCs w:val="22"/>
        </w:rPr>
        <w:t xml:space="preserve"> grasslands on the Basalt Plains, Victoria: Floristics and management effects. </w:t>
      </w:r>
      <w:r w:rsidRPr="006661D1">
        <w:rPr>
          <w:rFonts w:cs="Arial"/>
          <w:i/>
          <w:szCs w:val="22"/>
        </w:rPr>
        <w:t>Australian Journal of Ecology</w:t>
      </w:r>
      <w:r w:rsidRPr="006661D1">
        <w:rPr>
          <w:rFonts w:cs="Arial"/>
          <w:szCs w:val="22"/>
        </w:rPr>
        <w:t>, 2, 467-476.</w:t>
      </w:r>
    </w:p>
    <w:p w:rsidR="006661D1" w:rsidRPr="006661D1" w:rsidRDefault="006661D1" w:rsidP="006661D1">
      <w:pPr>
        <w:spacing w:afterLines="113" w:after="271" w:line="240" w:lineRule="atLeast"/>
        <w:rPr>
          <w:rFonts w:cs="Arial"/>
          <w:szCs w:val="22"/>
        </w:rPr>
      </w:pPr>
      <w:r w:rsidRPr="006661D1">
        <w:rPr>
          <w:rFonts w:cs="Arial"/>
          <w:szCs w:val="22"/>
        </w:rPr>
        <w:t>TSSC (Threatened Species Scientific Committee) (2008) Advice to the Minister for the Environment, Heritage and the Arts from the TSSC on Amendment to the list of Threatened Ecological Communities under the EPBC Act 1999.</w:t>
      </w:r>
    </w:p>
    <w:p w:rsidR="006661D1" w:rsidRPr="006661D1" w:rsidRDefault="006661D1" w:rsidP="006661D1">
      <w:pPr>
        <w:spacing w:afterLines="113" w:after="271" w:line="240" w:lineRule="atLeast"/>
        <w:rPr>
          <w:rFonts w:cs="Arial"/>
          <w:szCs w:val="22"/>
        </w:rPr>
      </w:pPr>
      <w:r w:rsidRPr="006661D1">
        <w:rPr>
          <w:rFonts w:cs="Arial"/>
          <w:szCs w:val="22"/>
        </w:rPr>
        <w:t xml:space="preserve">Watson, J., Watson, A., Paull, D., &amp; </w:t>
      </w:r>
      <w:proofErr w:type="spellStart"/>
      <w:r w:rsidRPr="006661D1">
        <w:rPr>
          <w:rFonts w:cs="Arial"/>
          <w:szCs w:val="22"/>
        </w:rPr>
        <w:t>Freudenberger</w:t>
      </w:r>
      <w:proofErr w:type="spellEnd"/>
      <w:r w:rsidRPr="006661D1">
        <w:rPr>
          <w:rFonts w:cs="Arial"/>
          <w:szCs w:val="22"/>
        </w:rPr>
        <w:t xml:space="preserve">, D. (2003). Woodland fragmentation is causing the decline of species and functional groups of birds in </w:t>
      </w:r>
      <w:proofErr w:type="spellStart"/>
      <w:r w:rsidRPr="006661D1">
        <w:rPr>
          <w:rFonts w:cs="Arial"/>
          <w:szCs w:val="22"/>
        </w:rPr>
        <w:t>southeastern</w:t>
      </w:r>
      <w:proofErr w:type="spellEnd"/>
      <w:r w:rsidRPr="006661D1">
        <w:rPr>
          <w:rFonts w:cs="Arial"/>
          <w:szCs w:val="22"/>
        </w:rPr>
        <w:t xml:space="preserve"> Australia. </w:t>
      </w:r>
      <w:r w:rsidRPr="006661D1">
        <w:rPr>
          <w:rFonts w:cs="Arial"/>
          <w:i/>
          <w:szCs w:val="22"/>
        </w:rPr>
        <w:t>Pacific Conservation Biology</w:t>
      </w:r>
      <w:r w:rsidRPr="006661D1">
        <w:rPr>
          <w:rFonts w:cs="Arial"/>
          <w:szCs w:val="22"/>
        </w:rPr>
        <w:t>, 8(4), 261-270.</w:t>
      </w:r>
    </w:p>
    <w:p w:rsidR="006661D1" w:rsidRPr="00BC3962" w:rsidRDefault="006661D1" w:rsidP="006661D1">
      <w:pPr>
        <w:spacing w:line="480" w:lineRule="auto"/>
        <w:ind w:left="720" w:hanging="720"/>
        <w:rPr>
          <w:rFonts w:ascii="Times New Roman" w:hAnsi="Times New Roman"/>
          <w:color w:val="FF0000"/>
        </w:rPr>
      </w:pPr>
      <w:r w:rsidRPr="00073DA5">
        <w:rPr>
          <w:rFonts w:ascii="Times New Roman" w:hAnsi="Times New Roman"/>
          <w:b/>
          <w:bCs/>
          <w:color w:val="FF0000"/>
          <w:sz w:val="28"/>
          <w:szCs w:val="28"/>
        </w:rPr>
        <w:br w:type="page"/>
      </w:r>
    </w:p>
    <w:p w:rsidR="006661D1" w:rsidRPr="006661D1" w:rsidRDefault="006661D1" w:rsidP="006661D1">
      <w:pPr>
        <w:pStyle w:val="HA"/>
      </w:pPr>
      <w:bookmarkStart w:id="24" w:name="_Toc443044157"/>
      <w:r w:rsidRPr="006661D1">
        <w:lastRenderedPageBreak/>
        <w:t>Appendix 1</w:t>
      </w:r>
      <w:r>
        <w:t>: Elicitation instructions</w:t>
      </w:r>
      <w:bookmarkEnd w:id="24"/>
    </w:p>
    <w:p w:rsidR="006661D1" w:rsidRPr="005850A3" w:rsidRDefault="006661D1" w:rsidP="005850A3">
      <w:pPr>
        <w:rPr>
          <w:rFonts w:cs="Arial"/>
          <w:b/>
          <w:color w:val="228591"/>
          <w:sz w:val="28"/>
        </w:rPr>
      </w:pPr>
      <w:r w:rsidRPr="005850A3">
        <w:rPr>
          <w:rFonts w:cs="Arial"/>
          <w:b/>
          <w:color w:val="228591"/>
          <w:sz w:val="28"/>
        </w:rPr>
        <w:t>Instructions given to expert participants</w:t>
      </w:r>
    </w:p>
    <w:p w:rsidR="006661D1" w:rsidRDefault="006661D1" w:rsidP="006661D1"/>
    <w:p w:rsidR="006661D1" w:rsidRPr="005850A3" w:rsidRDefault="006661D1" w:rsidP="005850A3">
      <w:pPr>
        <w:pStyle w:val="ListParagraph"/>
        <w:numPr>
          <w:ilvl w:val="0"/>
          <w:numId w:val="47"/>
        </w:numPr>
        <w:spacing w:afterLines="113" w:after="271" w:line="240" w:lineRule="atLeast"/>
        <w:rPr>
          <w:rFonts w:cs="Arial"/>
          <w:szCs w:val="22"/>
        </w:rPr>
      </w:pPr>
      <w:r w:rsidRPr="005850A3">
        <w:rPr>
          <w:rFonts w:cs="Arial"/>
          <w:szCs w:val="22"/>
        </w:rPr>
        <w:t>Please check that you have 15 cards.  Each card describes an imaginary GEW site.</w:t>
      </w:r>
    </w:p>
    <w:p w:rsidR="006661D1" w:rsidRPr="005850A3" w:rsidRDefault="006661D1" w:rsidP="005850A3">
      <w:pPr>
        <w:pStyle w:val="ListParagraph"/>
        <w:numPr>
          <w:ilvl w:val="0"/>
          <w:numId w:val="47"/>
        </w:numPr>
        <w:spacing w:afterLines="113" w:after="271" w:line="240" w:lineRule="atLeast"/>
        <w:rPr>
          <w:rFonts w:cs="Arial"/>
          <w:szCs w:val="22"/>
        </w:rPr>
      </w:pPr>
      <w:r w:rsidRPr="005850A3">
        <w:rPr>
          <w:rFonts w:cs="Arial"/>
          <w:szCs w:val="22"/>
        </w:rPr>
        <w:t>Rank the 15 imaginary sites from best to worst by arranging the cards in order.  Tied ranks are permitted for sites of equivalent site quality.</w:t>
      </w:r>
    </w:p>
    <w:p w:rsidR="006661D1" w:rsidRPr="005850A3" w:rsidRDefault="006661D1" w:rsidP="005850A3">
      <w:pPr>
        <w:pStyle w:val="ListParagraph"/>
        <w:numPr>
          <w:ilvl w:val="0"/>
          <w:numId w:val="47"/>
        </w:numPr>
        <w:spacing w:afterLines="113" w:after="271" w:line="240" w:lineRule="atLeast"/>
        <w:rPr>
          <w:rFonts w:cs="Arial"/>
          <w:szCs w:val="22"/>
        </w:rPr>
      </w:pPr>
      <w:r w:rsidRPr="005850A3">
        <w:rPr>
          <w:rFonts w:cs="Arial"/>
          <w:szCs w:val="22"/>
        </w:rPr>
        <w:t>Assign a “quality score ” or “value” to the sites in the following format:</w:t>
      </w:r>
    </w:p>
    <w:p w:rsidR="006661D1" w:rsidRPr="005850A3" w:rsidRDefault="006661D1" w:rsidP="005850A3">
      <w:pPr>
        <w:pStyle w:val="ListParagraph"/>
        <w:numPr>
          <w:ilvl w:val="1"/>
          <w:numId w:val="48"/>
        </w:numPr>
        <w:spacing w:afterLines="113" w:after="271" w:line="240" w:lineRule="atLeast"/>
        <w:rPr>
          <w:rFonts w:cs="Arial"/>
          <w:szCs w:val="22"/>
        </w:rPr>
      </w:pPr>
      <w:r w:rsidRPr="005850A3">
        <w:rPr>
          <w:rFonts w:cs="Arial"/>
          <w:szCs w:val="22"/>
        </w:rPr>
        <w:t>0 = lowest quality (worst) possible site you can imagine</w:t>
      </w:r>
    </w:p>
    <w:p w:rsidR="006661D1" w:rsidRPr="005850A3" w:rsidRDefault="006661D1" w:rsidP="005850A3">
      <w:pPr>
        <w:pStyle w:val="ListParagraph"/>
        <w:numPr>
          <w:ilvl w:val="1"/>
          <w:numId w:val="48"/>
        </w:numPr>
        <w:spacing w:afterLines="113" w:after="271" w:line="240" w:lineRule="atLeast"/>
        <w:rPr>
          <w:rFonts w:cs="Arial"/>
          <w:szCs w:val="22"/>
        </w:rPr>
      </w:pPr>
      <w:r w:rsidRPr="005850A3">
        <w:rPr>
          <w:rFonts w:cs="Arial"/>
          <w:szCs w:val="22"/>
        </w:rPr>
        <w:t>100 = highest quality (best) possible site you can imagine</w:t>
      </w:r>
    </w:p>
    <w:p w:rsidR="006661D1" w:rsidRPr="005850A3" w:rsidRDefault="006661D1" w:rsidP="005850A3">
      <w:pPr>
        <w:pStyle w:val="ListParagraph"/>
        <w:numPr>
          <w:ilvl w:val="1"/>
          <w:numId w:val="48"/>
        </w:numPr>
        <w:spacing w:afterLines="113" w:after="271" w:line="240" w:lineRule="atLeast"/>
        <w:rPr>
          <w:rFonts w:cs="Arial"/>
          <w:szCs w:val="22"/>
        </w:rPr>
      </w:pPr>
      <w:r w:rsidRPr="005850A3">
        <w:rPr>
          <w:rFonts w:cs="Arial"/>
          <w:szCs w:val="22"/>
        </w:rPr>
        <w:t>Use 5 point increments (0,5,10,15,20…</w:t>
      </w:r>
      <w:proofErr w:type="spellStart"/>
      <w:r w:rsidRPr="005850A3">
        <w:rPr>
          <w:rFonts w:cs="Arial"/>
          <w:szCs w:val="22"/>
        </w:rPr>
        <w:t>etc</w:t>
      </w:r>
      <w:proofErr w:type="spellEnd"/>
      <w:r w:rsidRPr="005850A3">
        <w:rPr>
          <w:rFonts w:cs="Arial"/>
          <w:szCs w:val="22"/>
        </w:rPr>
        <w:t>)</w:t>
      </w:r>
    </w:p>
    <w:p w:rsidR="006661D1" w:rsidRPr="005850A3" w:rsidRDefault="006661D1" w:rsidP="005850A3">
      <w:pPr>
        <w:pStyle w:val="ListParagraph"/>
        <w:numPr>
          <w:ilvl w:val="1"/>
          <w:numId w:val="48"/>
        </w:numPr>
        <w:spacing w:afterLines="113" w:after="271" w:line="240" w:lineRule="atLeast"/>
        <w:rPr>
          <w:rFonts w:cs="Arial"/>
          <w:szCs w:val="22"/>
        </w:rPr>
      </w:pPr>
      <w:r w:rsidRPr="005850A3">
        <w:rPr>
          <w:rFonts w:cs="Arial"/>
          <w:szCs w:val="22"/>
        </w:rPr>
        <w:t>Multiple sites can be given the same score if they are of equivalent value</w:t>
      </w:r>
    </w:p>
    <w:p w:rsidR="006661D1" w:rsidRPr="005850A3" w:rsidRDefault="006661D1" w:rsidP="005850A3">
      <w:pPr>
        <w:pStyle w:val="ListParagraph"/>
        <w:numPr>
          <w:ilvl w:val="1"/>
          <w:numId w:val="48"/>
        </w:numPr>
        <w:spacing w:afterLines="113" w:after="271" w:line="240" w:lineRule="atLeast"/>
        <w:rPr>
          <w:rFonts w:cs="Arial"/>
          <w:szCs w:val="22"/>
        </w:rPr>
      </w:pPr>
      <w:r w:rsidRPr="005850A3">
        <w:rPr>
          <w:rFonts w:cs="Arial"/>
          <w:szCs w:val="22"/>
        </w:rPr>
        <w:t>The sites do not need to be evenly spread (e.g. You can have most of the sites above 80, and a few at zero.)</w:t>
      </w:r>
    </w:p>
    <w:p w:rsidR="006661D1" w:rsidRPr="005850A3" w:rsidRDefault="006661D1" w:rsidP="005850A3">
      <w:pPr>
        <w:pStyle w:val="ListParagraph"/>
        <w:numPr>
          <w:ilvl w:val="0"/>
          <w:numId w:val="47"/>
        </w:numPr>
        <w:spacing w:afterLines="113" w:after="271" w:line="240" w:lineRule="atLeast"/>
        <w:rPr>
          <w:rFonts w:cs="Arial"/>
          <w:szCs w:val="22"/>
        </w:rPr>
      </w:pPr>
      <w:r w:rsidRPr="005850A3">
        <w:rPr>
          <w:rFonts w:cs="Arial"/>
          <w:szCs w:val="22"/>
        </w:rPr>
        <w:t>If you can imagine sites better or worse than the range of cards in your set, such that none of the cards warrant a score 0 and/or 100, create your own site to provide a score of 0 and/or 100, by writing new numbers on a card, and providing a score.  Please also score the printed card that you wrote on.</w:t>
      </w:r>
    </w:p>
    <w:p w:rsidR="006661D1" w:rsidRPr="005850A3" w:rsidRDefault="006661D1" w:rsidP="005850A3">
      <w:pPr>
        <w:rPr>
          <w:rFonts w:cs="Arial"/>
          <w:b/>
          <w:color w:val="228591"/>
          <w:sz w:val="28"/>
        </w:rPr>
      </w:pPr>
      <w:r w:rsidRPr="005850A3">
        <w:rPr>
          <w:rFonts w:cs="Arial"/>
          <w:b/>
          <w:color w:val="228591"/>
          <w:sz w:val="28"/>
        </w:rPr>
        <w:t>Notes on the conception of ‘Value’</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Consider the value of the sites in any / all of the following terms:</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habitat for animals or plants (e.g. contribution to the persistence of species),</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the current balance between native and exotic species,</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species diversity,</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the abundance of particular species or life-forms (e.g. as a genetic resource for evolutionary processes, or as a seed supply),</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the value to society as an aesthetic, recreational or educational asset,</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how important or desirable the site should be for government agencies or conservation organisations to protect,</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how much you, as an expert, “like” the vegetation.</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Please try NOT to introduce the following considerations.  We acknowledge they are important, but they will not be dealt with in this exercise:</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The actual dollar cost of maintaining or improving the vegetation,</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The likely future for the site (whether good or bad),</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The liability or danger the site poses to other sites (e.g. as weed or pest harbour; as a fire hazard),</w:t>
      </w:r>
    </w:p>
    <w:p w:rsidR="006661D1" w:rsidRPr="006661D1" w:rsidRDefault="006661D1" w:rsidP="006661D1">
      <w:pPr>
        <w:pStyle w:val="ListParagraph"/>
        <w:numPr>
          <w:ilvl w:val="0"/>
          <w:numId w:val="46"/>
        </w:numPr>
        <w:spacing w:afterLines="113" w:after="271" w:line="240" w:lineRule="atLeast"/>
        <w:rPr>
          <w:rFonts w:cs="Arial"/>
          <w:szCs w:val="22"/>
        </w:rPr>
      </w:pPr>
      <w:r w:rsidRPr="006661D1">
        <w:rPr>
          <w:rFonts w:cs="Arial"/>
          <w:szCs w:val="22"/>
        </w:rPr>
        <w:t>Any presumed size or spatial context of the site.</w:t>
      </w:r>
    </w:p>
    <w:p w:rsidR="006661D1" w:rsidRPr="005850A3" w:rsidRDefault="006661D1" w:rsidP="005850A3">
      <w:pPr>
        <w:rPr>
          <w:rFonts w:cs="Arial"/>
          <w:b/>
          <w:color w:val="228591"/>
          <w:sz w:val="28"/>
        </w:rPr>
      </w:pPr>
      <w:r w:rsidRPr="005850A3">
        <w:rPr>
          <w:rFonts w:cs="Arial"/>
          <w:b/>
          <w:color w:val="228591"/>
          <w:sz w:val="28"/>
        </w:rPr>
        <w:t>Notes on the d</w:t>
      </w:r>
      <w:r w:rsidR="005850A3">
        <w:rPr>
          <w:rFonts w:cs="Arial"/>
          <w:b/>
          <w:color w:val="228591"/>
          <w:sz w:val="28"/>
        </w:rPr>
        <w:t>escription of sites</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 xml:space="preserve">Assume the sites were once (‘naturally’) covered by Grassy Eucalypt Woodland of the Victorian Volcanic Plain.  This community is treed (usually Red Gum, occasionally Swamp Gum, Yellow Box or Manna Gum), and usually dominated by either </w:t>
      </w:r>
      <w:proofErr w:type="spellStart"/>
      <w:r w:rsidRPr="005850A3">
        <w:rPr>
          <w:rFonts w:cs="Arial"/>
          <w:i/>
          <w:szCs w:val="22"/>
        </w:rPr>
        <w:t>Themeda</w:t>
      </w:r>
      <w:proofErr w:type="spellEnd"/>
      <w:r w:rsidRPr="005850A3">
        <w:rPr>
          <w:rFonts w:cs="Arial"/>
          <w:i/>
          <w:szCs w:val="22"/>
        </w:rPr>
        <w:t xml:space="preserve"> </w:t>
      </w:r>
      <w:r w:rsidRPr="006661D1">
        <w:rPr>
          <w:rFonts w:cs="Arial"/>
          <w:szCs w:val="22"/>
        </w:rPr>
        <w:t xml:space="preserve">or </w:t>
      </w:r>
      <w:proofErr w:type="spellStart"/>
      <w:r w:rsidRPr="005850A3">
        <w:rPr>
          <w:rFonts w:cs="Arial"/>
          <w:i/>
          <w:szCs w:val="22"/>
        </w:rPr>
        <w:t>Poa</w:t>
      </w:r>
      <w:proofErr w:type="spellEnd"/>
      <w:r w:rsidRPr="005850A3">
        <w:rPr>
          <w:rFonts w:cs="Arial"/>
          <w:i/>
          <w:szCs w:val="22"/>
        </w:rPr>
        <w:t xml:space="preserve"> </w:t>
      </w:r>
      <w:proofErr w:type="spellStart"/>
      <w:r w:rsidRPr="005850A3">
        <w:rPr>
          <w:rFonts w:cs="Arial"/>
          <w:i/>
          <w:szCs w:val="22"/>
        </w:rPr>
        <w:t>labillardierei</w:t>
      </w:r>
      <w:proofErr w:type="spellEnd"/>
      <w:r w:rsidRPr="006661D1">
        <w:rPr>
          <w:rFonts w:cs="Arial"/>
          <w:szCs w:val="22"/>
        </w:rPr>
        <w:t>, with a range of other grasses (</w:t>
      </w:r>
      <w:proofErr w:type="spellStart"/>
      <w:r w:rsidRPr="005850A3">
        <w:rPr>
          <w:rFonts w:cs="Arial"/>
          <w:i/>
          <w:szCs w:val="22"/>
        </w:rPr>
        <w:t>Austrostipa</w:t>
      </w:r>
      <w:proofErr w:type="spellEnd"/>
      <w:r w:rsidRPr="006661D1">
        <w:rPr>
          <w:rFonts w:cs="Arial"/>
          <w:szCs w:val="22"/>
        </w:rPr>
        <w:t xml:space="preserve">, </w:t>
      </w:r>
      <w:proofErr w:type="spellStart"/>
      <w:r w:rsidRPr="005850A3">
        <w:rPr>
          <w:rFonts w:cs="Arial"/>
          <w:i/>
          <w:szCs w:val="22"/>
        </w:rPr>
        <w:t>Rytidosperma</w:t>
      </w:r>
      <w:proofErr w:type="spellEnd"/>
      <w:r w:rsidRPr="006661D1">
        <w:rPr>
          <w:rFonts w:cs="Arial"/>
          <w:szCs w:val="22"/>
        </w:rPr>
        <w:t xml:space="preserve">, </w:t>
      </w:r>
      <w:proofErr w:type="spellStart"/>
      <w:r w:rsidRPr="006661D1">
        <w:rPr>
          <w:rFonts w:cs="Arial"/>
          <w:szCs w:val="22"/>
        </w:rPr>
        <w:t>etc</w:t>
      </w:r>
      <w:proofErr w:type="spellEnd"/>
      <w:r w:rsidRPr="006661D1">
        <w:rPr>
          <w:rFonts w:cs="Arial"/>
          <w:szCs w:val="22"/>
        </w:rPr>
        <w:t>), and herbs characteristic of fertile sites.</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The sites are of the same indeterminate size (if people insist on imagining a size, imagine a square 1 ha site for all cards),</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 xml:space="preserve">All sites are on basalt terrain, </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The natural rock cover was between 0-70% (usually ~1-10%) but may have been altered, as described),</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We know that not all sites are likely or even plausible, please treat such sites as a thought experiment, we need the data anyway.</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The cover values are absolute covers (note overlapping cover may exceed 100%).</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lastRenderedPageBreak/>
        <w:t>The cover values are 0, 1 (including very low covers), 5, 10, then 5 point increments.</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The cover of “</w:t>
      </w:r>
      <w:proofErr w:type="spellStart"/>
      <w:r w:rsidRPr="006661D1">
        <w:rPr>
          <w:rFonts w:cs="Arial"/>
          <w:szCs w:val="22"/>
        </w:rPr>
        <w:t>Themeda</w:t>
      </w:r>
      <w:proofErr w:type="spellEnd"/>
      <w:r w:rsidRPr="006661D1">
        <w:rPr>
          <w:rFonts w:cs="Arial"/>
          <w:szCs w:val="22"/>
        </w:rPr>
        <w:t xml:space="preserve"> / </w:t>
      </w:r>
      <w:proofErr w:type="spellStart"/>
      <w:r w:rsidRPr="006661D1">
        <w:rPr>
          <w:rFonts w:cs="Arial"/>
          <w:szCs w:val="22"/>
        </w:rPr>
        <w:t>Poa</w:t>
      </w:r>
      <w:proofErr w:type="spellEnd"/>
      <w:r w:rsidRPr="006661D1">
        <w:rPr>
          <w:rFonts w:cs="Arial"/>
          <w:szCs w:val="22"/>
        </w:rPr>
        <w:t xml:space="preserve">” is included within the cover of “all native </w:t>
      </w:r>
      <w:proofErr w:type="spellStart"/>
      <w:r w:rsidRPr="006661D1">
        <w:rPr>
          <w:rFonts w:cs="Arial"/>
          <w:szCs w:val="22"/>
        </w:rPr>
        <w:t>Poaceae</w:t>
      </w:r>
      <w:proofErr w:type="spellEnd"/>
      <w:r w:rsidRPr="006661D1">
        <w:rPr>
          <w:rFonts w:cs="Arial"/>
          <w:szCs w:val="22"/>
        </w:rPr>
        <w:t xml:space="preserve"> (= grasses)” </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Rocky Substrate = “as natural”, which means the site has never been de-rocked for cropping, and has a rock cover between 0 and ~70%.  “de-rocked” means that the natural surface has been ripped and flattened to allow cropping, and the rocks taken off site, leaving rock cover at negligible levels. This may have been many years ago.</w:t>
      </w:r>
    </w:p>
    <w:p w:rsidR="006661D1" w:rsidRPr="006661D1" w:rsidRDefault="006661D1" w:rsidP="006661D1">
      <w:pPr>
        <w:pStyle w:val="ListParagraph"/>
        <w:numPr>
          <w:ilvl w:val="0"/>
          <w:numId w:val="45"/>
        </w:numPr>
        <w:spacing w:afterLines="113" w:after="271" w:line="240" w:lineRule="atLeast"/>
        <w:rPr>
          <w:rFonts w:cs="Arial"/>
          <w:szCs w:val="22"/>
        </w:rPr>
      </w:pPr>
      <w:r w:rsidRPr="006661D1">
        <w:rPr>
          <w:rFonts w:cs="Arial"/>
          <w:szCs w:val="22"/>
        </w:rPr>
        <w:t>The sites are described as they appear in Spring-early Summer.</w:t>
      </w:r>
    </w:p>
    <w:p w:rsidR="006661D1" w:rsidRDefault="006661D1" w:rsidP="006661D1">
      <w:pPr>
        <w:rPr>
          <w:rFonts w:ascii="Cambria" w:hAnsi="Cambria" w:cs="Cambria"/>
          <w:b/>
          <w:bCs/>
          <w:color w:val="4F81BD"/>
          <w:sz w:val="36"/>
          <w:szCs w:val="36"/>
        </w:rPr>
      </w:pPr>
      <w:r>
        <w:rPr>
          <w:sz w:val="36"/>
          <w:szCs w:val="36"/>
        </w:rPr>
        <w:br w:type="page"/>
      </w:r>
    </w:p>
    <w:p w:rsidR="006661D1" w:rsidRPr="006661D1" w:rsidRDefault="006661D1" w:rsidP="006661D1">
      <w:pPr>
        <w:pStyle w:val="HA"/>
      </w:pPr>
      <w:bookmarkStart w:id="25" w:name="_Toc443044158"/>
      <w:r w:rsidRPr="006661D1">
        <w:lastRenderedPageBreak/>
        <w:t>Appendix 2</w:t>
      </w:r>
      <w:r>
        <w:t>: Comparison with random opinion set</w:t>
      </w:r>
      <w:bookmarkEnd w:id="25"/>
    </w:p>
    <w:p w:rsidR="006661D1" w:rsidRDefault="006661D1" w:rsidP="006661D1">
      <w:r>
        <w:t>The</w:t>
      </w:r>
      <w:r w:rsidRPr="001D3A06">
        <w:t xml:space="preserve"> order</w:t>
      </w:r>
      <w:r>
        <w:t xml:space="preserve">ing of the sites along the horizontal axis artificially imposes some appearance of a meaningful ‘linear’ structure in the dataset.  In order to appreciate how much the GEW opinion dataset differs from a random and meaningless set of evaluations, the plots below show both the actual set of responses (taken from Figure 4) with false random evaluations of the same number.  </w:t>
      </w:r>
    </w:p>
    <w:p w:rsidR="006661D1" w:rsidRDefault="006661D1" w:rsidP="006661D1"/>
    <w:p w:rsidR="006661D1" w:rsidRDefault="006661D1" w:rsidP="006661D1">
      <w:r>
        <w:rPr>
          <w:noProof/>
          <w:lang w:eastAsia="en-AU"/>
        </w:rPr>
        <w:drawing>
          <wp:inline distT="0" distB="0" distL="0" distR="0" wp14:anchorId="7DED293D" wp14:editId="0E53FAFB">
            <wp:extent cx="5731510" cy="236474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dataplot.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2364740"/>
                    </a:xfrm>
                    <a:prstGeom prst="rect">
                      <a:avLst/>
                    </a:prstGeom>
                  </pic:spPr>
                </pic:pic>
              </a:graphicData>
            </a:graphic>
          </wp:inline>
        </w:drawing>
      </w:r>
    </w:p>
    <w:p w:rsidR="006661D1" w:rsidRDefault="006661D1" w:rsidP="006661D1"/>
    <w:p w:rsidR="006661D1" w:rsidRPr="00C44854" w:rsidRDefault="006661D1" w:rsidP="006661D1">
      <w:r>
        <w:rPr>
          <w:noProof/>
          <w:lang w:eastAsia="en-AU"/>
        </w:rPr>
        <w:drawing>
          <wp:inline distT="0" distB="0" distL="0" distR="0" wp14:anchorId="4DD35560" wp14:editId="3F7F27FB">
            <wp:extent cx="5731510" cy="2245360"/>
            <wp:effectExtent l="0" t="0" r="254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randplo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1510" cy="2245360"/>
                    </a:xfrm>
                    <a:prstGeom prst="rect">
                      <a:avLst/>
                    </a:prstGeom>
                  </pic:spPr>
                </pic:pic>
              </a:graphicData>
            </a:graphic>
          </wp:inline>
        </w:drawing>
      </w:r>
    </w:p>
    <w:p w:rsidR="006661D1" w:rsidRDefault="006661D1" w:rsidP="006661D1">
      <w:pPr>
        <w:rPr>
          <w:rFonts w:ascii="Cambria" w:hAnsi="Cambria" w:cs="Cambria"/>
          <w:b/>
          <w:bCs/>
          <w:color w:val="4F81BD"/>
          <w:sz w:val="36"/>
          <w:szCs w:val="36"/>
        </w:rPr>
      </w:pPr>
      <w:r>
        <w:rPr>
          <w:sz w:val="36"/>
          <w:szCs w:val="36"/>
        </w:rPr>
        <w:br w:type="page"/>
      </w:r>
    </w:p>
    <w:p w:rsidR="006661D1" w:rsidRPr="006661D1" w:rsidRDefault="006661D1" w:rsidP="006661D1">
      <w:pPr>
        <w:pStyle w:val="HA"/>
      </w:pPr>
      <w:bookmarkStart w:id="26" w:name="_Toc443044159"/>
      <w:r w:rsidRPr="006661D1">
        <w:lastRenderedPageBreak/>
        <w:t>Appendix 3</w:t>
      </w:r>
      <w:r>
        <w:t>: Regression trees as statements</w:t>
      </w:r>
      <w:bookmarkEnd w:id="26"/>
    </w:p>
    <w:p w:rsidR="006661D1" w:rsidRPr="00076AA8" w:rsidRDefault="006661D1" w:rsidP="006661D1">
      <w:r w:rsidRPr="00076AA8">
        <w:t>The regression tree models are presented below as ‘if/then’ statements, suitable for use in an Excel spreadsheet.  The following steps must be followed in order to derive a quality score for GEW:</w:t>
      </w:r>
    </w:p>
    <w:p w:rsidR="006661D1" w:rsidRDefault="006661D1" w:rsidP="006661D1">
      <w:pPr>
        <w:pStyle w:val="ListParagraph"/>
        <w:numPr>
          <w:ilvl w:val="0"/>
          <w:numId w:val="39"/>
        </w:numPr>
        <w:spacing w:after="200" w:line="276" w:lineRule="auto"/>
        <w:contextualSpacing w:val="0"/>
        <w:rPr>
          <w:rFonts w:asciiTheme="minorHAnsi" w:eastAsiaTheme="minorHAnsi" w:hAnsiTheme="minorHAnsi" w:cstheme="minorBidi"/>
        </w:rPr>
      </w:pPr>
      <w:r w:rsidRPr="00076AA8">
        <w:rPr>
          <w:rFonts w:asciiTheme="minorHAnsi" w:eastAsiaTheme="minorHAnsi" w:hAnsiTheme="minorHAnsi" w:cstheme="minorBidi"/>
        </w:rPr>
        <w:t>The variable names in the statements must be replaced with references to input cells within the spreadsheet.</w:t>
      </w:r>
      <w:r>
        <w:rPr>
          <w:rFonts w:asciiTheme="minorHAnsi" w:eastAsiaTheme="minorHAnsi" w:hAnsiTheme="minorHAnsi" w:cstheme="minorBidi"/>
        </w:rPr>
        <w:t xml:space="preserve">  This has been done for the spreadsheet delivered along with this report.</w:t>
      </w:r>
    </w:p>
    <w:p w:rsidR="006661D1" w:rsidRPr="00076AA8" w:rsidRDefault="006661D1" w:rsidP="006661D1">
      <w:pPr>
        <w:pStyle w:val="ListParagraph"/>
        <w:numPr>
          <w:ilvl w:val="0"/>
          <w:numId w:val="39"/>
        </w:numPr>
        <w:spacing w:after="200" w:line="276" w:lineRule="auto"/>
        <w:contextualSpacing w:val="0"/>
        <w:rPr>
          <w:rFonts w:asciiTheme="minorHAnsi" w:eastAsiaTheme="minorHAnsi" w:hAnsiTheme="minorHAnsi" w:cstheme="minorBidi"/>
        </w:rPr>
      </w:pPr>
      <w:r>
        <w:rPr>
          <w:rFonts w:asciiTheme="minorHAnsi" w:eastAsiaTheme="minorHAnsi" w:hAnsiTheme="minorHAnsi" w:cstheme="minorBidi"/>
        </w:rPr>
        <w:t>Values measured for each variable from real sites must be entered into the input cells, leading each statement to make a prediction.</w:t>
      </w:r>
    </w:p>
    <w:p w:rsidR="006661D1" w:rsidRDefault="006661D1" w:rsidP="006661D1">
      <w:pPr>
        <w:pStyle w:val="ListParagraph"/>
        <w:numPr>
          <w:ilvl w:val="0"/>
          <w:numId w:val="39"/>
        </w:numPr>
        <w:spacing w:after="200" w:line="276" w:lineRule="auto"/>
        <w:contextualSpacing w:val="0"/>
        <w:rPr>
          <w:rFonts w:asciiTheme="minorHAnsi" w:eastAsiaTheme="minorHAnsi" w:hAnsiTheme="minorHAnsi" w:cstheme="minorBidi"/>
        </w:rPr>
      </w:pPr>
      <w:r>
        <w:rPr>
          <w:rFonts w:asciiTheme="minorHAnsi" w:eastAsiaTheme="minorHAnsi" w:hAnsiTheme="minorHAnsi" w:cstheme="minorBidi"/>
        </w:rPr>
        <w:t>The 30 separate prediction</w:t>
      </w:r>
      <w:r w:rsidRPr="00076AA8">
        <w:rPr>
          <w:rFonts w:asciiTheme="minorHAnsi" w:eastAsiaTheme="minorHAnsi" w:hAnsiTheme="minorHAnsi" w:cstheme="minorBidi"/>
        </w:rPr>
        <w:t>s</w:t>
      </w:r>
      <w:r>
        <w:rPr>
          <w:rFonts w:asciiTheme="minorHAnsi" w:eastAsiaTheme="minorHAnsi" w:hAnsiTheme="minorHAnsi" w:cstheme="minorBidi"/>
        </w:rPr>
        <w:t xml:space="preserve"> (30 trees)</w:t>
      </w:r>
      <w:r w:rsidRPr="00076AA8">
        <w:rPr>
          <w:rFonts w:asciiTheme="minorHAnsi" w:eastAsiaTheme="minorHAnsi" w:hAnsiTheme="minorHAnsi" w:cstheme="minorBidi"/>
        </w:rPr>
        <w:t xml:space="preserve"> must be combined into a</w:t>
      </w:r>
      <w:r>
        <w:rPr>
          <w:rFonts w:asciiTheme="minorHAnsi" w:eastAsiaTheme="minorHAnsi" w:hAnsiTheme="minorHAnsi" w:cstheme="minorBidi"/>
        </w:rPr>
        <w:t xml:space="preserve"> final prediction (</w:t>
      </w:r>
      <w:r w:rsidRPr="00076AA8">
        <w:rPr>
          <w:rFonts w:asciiTheme="minorHAnsi" w:eastAsiaTheme="minorHAnsi" w:hAnsiTheme="minorHAnsi" w:cstheme="minorBidi"/>
        </w:rPr>
        <w:t>ensemble</w:t>
      </w:r>
      <w:r>
        <w:rPr>
          <w:rFonts w:asciiTheme="minorHAnsi" w:eastAsiaTheme="minorHAnsi" w:hAnsiTheme="minorHAnsi" w:cstheme="minorBidi"/>
        </w:rPr>
        <w:t xml:space="preserve"> model)</w:t>
      </w:r>
      <w:r w:rsidRPr="00076AA8">
        <w:rPr>
          <w:rFonts w:asciiTheme="minorHAnsi" w:eastAsiaTheme="minorHAnsi" w:hAnsiTheme="minorHAnsi" w:cstheme="minorBidi"/>
        </w:rPr>
        <w:t xml:space="preserve"> by deriving the average prediction from all 30 models (i.e. an arithmetic mean).</w:t>
      </w:r>
    </w:p>
    <w:p w:rsidR="006661D1" w:rsidRPr="00076AA8" w:rsidRDefault="006661D1" w:rsidP="006661D1"/>
    <w:p w:rsidR="006661D1" w:rsidRPr="002D349D" w:rsidRDefault="006661D1" w:rsidP="006661D1">
      <w:pPr>
        <w:rPr>
          <w:sz w:val="18"/>
          <w:szCs w:val="18"/>
        </w:rPr>
      </w:pPr>
      <w:r w:rsidRPr="002D349D">
        <w:rPr>
          <w:sz w:val="18"/>
          <w:szCs w:val="18"/>
        </w:rPr>
        <w:t>Tree:1: =If(Cover_Them_Poa&gt;1,If(Cover_native_forbs&gt;5,If(Cover_Shrubs&gt;1,If(Cover_woody_exotics&gt;0,65,If(Diversity_native_forbs&gt;2,If(Bare_ground&gt;5,92,87.5),81.363636)),50),If(Large_TreePerHa&gt;1,If(Rocky_substrate&gt;0,If(Cover_annual_exotics&gt;30,If(Cover_Shrubs&gt;0,60,46.25),If(Cover_Them_Poa&gt;5,If(Cover_Them_Poa&gt;20,If(Cover_Eucalyptus&gt;10,74.090909,66.666667),86.25),60)),40),If(Bare_ground&gt;1,45.714286,28.333333))),If(Cover_all_nat_Poaceae&gt;0,If(Cover_annual_exotics&gt;30,If(Cover_all_nat_Poaceae&gt;30,46.666667,If(Diversity_native_forbs&gt;1,40,If(Cover_annual_exotics&gt;85,7.5,If(Large_TreePerHa&gt;6,24,18.846154)))),If(Cover_native_forbs&gt;0,If(Large_TreePerHa&gt;1,If(Bare_ground&gt;10,33.75,57.777778),68.125),If(Cover_Debris&gt;1,18.333333,32.5))),If(Cover_annual_exotics&gt;0,7.5,0)))</w:t>
      </w:r>
    </w:p>
    <w:p w:rsidR="006661D1" w:rsidRPr="002D349D" w:rsidRDefault="006661D1" w:rsidP="006661D1">
      <w:pPr>
        <w:rPr>
          <w:sz w:val="18"/>
          <w:szCs w:val="18"/>
        </w:rPr>
      </w:pPr>
      <w:r w:rsidRPr="002D349D">
        <w:rPr>
          <w:sz w:val="18"/>
          <w:szCs w:val="18"/>
        </w:rPr>
        <w:t>Tree:2: =If(Cover_Them_Poa&gt;1,If(Cover_annual_exotics&gt;5,If(Cover_Them_Poa&gt;25,If(Cover_Eucalyptus&gt;1,If(Cover_all_nat_Poaceae&gt;50,70.357143,80),50),If(Cover_annual_exotics&gt;35,61.25,46.538462)),If(Cover_native_forbs&gt;10,If(Cover_Them_Poa&gt;30,If(Large_TreePerHa&gt;4,93.846154,89.166667),85),If(Cover_Them_Poa&gt;5,If(Large_TreePerHa&gt;1,85,78.125),67.5))),If(Cover_all_nat_Poaceae&gt;1,If(Cover_annual_exotics&gt;15,If(Bare_ground&gt;1,If(Cover_Eucalyptus&gt;1,If(Cover_Debris&gt;1,21.25,36),If(Cover_all_nat_Poaceae&gt;25,16.428571,12.142857)),If(Cover_annual_exotics&gt;45,50,66.666667)),If(Rocky_substrate&gt;0,If(Bare_ground&gt;5,If(Cover_Eucalyptus&gt;1,57,28.75),68.75),If(Large_TreePerHa&gt;2,46.666667,20.714286))),If(Cover_Eucalyptus&gt;0,If(Large_TreePerHa&gt;7,10,17.142857),If(Cover_all_nat_Poaceae&gt;0,7,0))))</w:t>
      </w:r>
    </w:p>
    <w:p w:rsidR="006661D1" w:rsidRPr="002D349D" w:rsidRDefault="006661D1" w:rsidP="006661D1">
      <w:pPr>
        <w:rPr>
          <w:sz w:val="18"/>
          <w:szCs w:val="18"/>
        </w:rPr>
      </w:pPr>
      <w:r w:rsidRPr="002D349D">
        <w:rPr>
          <w:sz w:val="18"/>
          <w:szCs w:val="18"/>
        </w:rPr>
        <w:t>Tree:3: =If(Cover_native_forbs&gt;5,If(Cover_per_ex_grass_herbs&gt;1,58.333333,If(Large_TreePerHa&gt;4,If(Cover_Them_Poa&gt;40,99.285714,91),If(Cover_all_nat_Poaceae&gt;55,86.428571,72))),If(Cover_Eucalyptus&gt;5,If(Diversity_native_forbs&gt;2,If(Bare_ground&gt;5,93.333333,73),If(Cover_all_nat_Poaceae&gt;10,If(Cover_Eucalyptus&gt;40,80,If(Cover_all_nat_Poaceae&gt;35,58.636364,If(Cover_Them_Poa&gt;0,If(Large_TreePerHa&gt;3,31.666667,43.333333),59.166667))),If(Cover_woody_exotics&gt;0,53.333333,If(Rocky_substrate&gt;0,22.5,34)))),If(Rocky_substrate&gt;0,If(Cover_Eucalyptus&gt;1,If(Bare_ground&gt;1,45,60.555556),If(Cover_per_ex_grass_herbs&gt;30,51.666667,If(Bare_ground&gt;5,22.5,36.5625))),If(Cover_all_nat_Poaceae&gt;30,If(Cover_Eucalyptus&gt;0,25,38.333333),If(Cover_Eucalyptus&gt;0,16.666667,If(Cover_per_ex_grass_herbs&gt;0,10,1.666667))))))</w:t>
      </w:r>
    </w:p>
    <w:p w:rsidR="006661D1" w:rsidRPr="002D349D" w:rsidRDefault="006661D1" w:rsidP="006661D1">
      <w:pPr>
        <w:rPr>
          <w:sz w:val="18"/>
          <w:szCs w:val="18"/>
        </w:rPr>
      </w:pPr>
      <w:r w:rsidRPr="002D349D">
        <w:rPr>
          <w:sz w:val="18"/>
          <w:szCs w:val="18"/>
        </w:rPr>
        <w:t>Tree:4: =If(Cover_all_nat_Poaceae&gt;40,If(Bare_ground&gt;5,If(Large_TreePerHa&gt;9,If(Diversity_native_forbs&gt;2,If(Cover_all_nat_Poaceae&gt;55,98.571429,88.333333),86.25),If(Bare_ground&gt;20,56.666667,If(Cover_Them_Poa&gt;45,63.333333,If(Cover_native_forbs&gt;15,88.333333,76.25)))),If(Cover_native_forbs&gt;1,If(Cover_Them_Poa&gt;5,If(Cover_Them_Poa&gt;10,73.333333,80),56.25),If(Cover_annual_exotics&gt;25,59.090909,If(Cover_annual_exotics&gt;15,40,54)))),If(Rocky_substrate&gt;0,If(Cover_woody_exotics&gt;5,12.222222,If(Large_TreePerHa&gt;2,If(Cover_all_nat_Poaceae&gt;20,If(Cover_Eucalyptus&gt;20,45,36),65.714286),If(Cover_Them_Poa&gt;0,If(Diversity_native_forbs&gt;1,57.142857,36),If(Cover_all_nat_Poaceae&gt;5,53.75,If(Cover_Debris&gt;0,10.714286,If(Cover_Eucalyptus&gt;5,30,24)))))),If(Cover_all_nat_Poaceae&gt;0,If(Cover_Eucalyptus&gt;5,16.666667,9.5),2.5)))</w:t>
      </w:r>
    </w:p>
    <w:p w:rsidR="006661D1" w:rsidRPr="002D349D" w:rsidRDefault="006661D1" w:rsidP="006661D1">
      <w:pPr>
        <w:rPr>
          <w:sz w:val="18"/>
          <w:szCs w:val="18"/>
        </w:rPr>
      </w:pPr>
      <w:r w:rsidRPr="002D349D">
        <w:rPr>
          <w:sz w:val="18"/>
          <w:szCs w:val="18"/>
        </w:rPr>
        <w:t>Tree:5: =If(Cover_all_nat_Poaceae&gt;15,If(Cover_Shrubs&gt;0,If(Cover_Them_Poa&gt;35,If(Cover_native_forbs&gt;10,If(Large_TreePerHa&gt;4,98,If(Cover_Shrubs&gt;5,91.666667,81.666667)),75.454545),If(Cover_all_nat_Poaceae&gt;60,If(Cover_Eucalyptus&gt;5,82.5,68.125),If(Cover_Eucalyptus&gt;25,If(Cover_Eucalyptus&gt;30,70,65),If(Large_TreePerHa&gt;7,60.714286,50)))),If(Large_TreePerHa&gt;5,If(Cover_woody_exotics&gt;1,72.857143,If(Bare_ground&gt;5,62.222222,50)),If(Cover_all_nat_Poaceae&gt;30,If(Cover_native_forbs&gt;5,65,If(Diversity_native_forbs&gt;1,40,If(Cover_Them_Poa&gt;0,If(Cover_Eucalyptus&gt;0,50,40),73.333333))),If(Cover_Eucalyptus&gt;1,38.333333,18.333333)))),If(Cover_native_forbs&gt;0,If(Cover_all_nat_Poaceae&gt;1,If(Cover_Shrubs&gt;10,70,If(Large_TreePerHa&gt;1,51.666667,If(Diversity_native_forbs&gt;1,33.75,18.333333))),6.666667),If(Cover_Debris&gt;0,If(Bare_ground&gt;1,15.769231,7),0)))</w:t>
      </w:r>
    </w:p>
    <w:p w:rsidR="006661D1" w:rsidRPr="002D349D" w:rsidRDefault="006661D1" w:rsidP="006661D1">
      <w:pPr>
        <w:rPr>
          <w:sz w:val="18"/>
          <w:szCs w:val="18"/>
        </w:rPr>
      </w:pPr>
      <w:r w:rsidRPr="002D349D">
        <w:rPr>
          <w:sz w:val="18"/>
          <w:szCs w:val="18"/>
        </w:rPr>
        <w:t>Tree:6: =If(Cover_Them_Poa&gt;1,If(Diversity_native_forbs&gt;2,If(Cover_woody_exotics&gt;1,65.714286,86.363636),If(Cover_Shrubs&gt;0,If(Cover_native_forbs&gt;1,78.571429,If(Cover_all_nat_Poaceae&gt;60,68.333333,If(Cover_per_ex_grass_herbs&gt;0,51.666667,61.25))),If(Cover_Eucalyptus&gt;25,If(Cover_Eucalyptus&gt;35,60,52),44.333333))),If(Diversity_native_forbs&gt;2,55.714286,If(Cover_all_nat_Poaceae&gt;30,If(Cover_all_nat_Poaceae&gt;80,24.166667,51.25),If(Cover_all_nat_Poaceae&gt;5,If(Cover_Eucalyptus&gt;1,37,20),If(Cover_Eucalyptus&gt;0,If(Cover_native_forbs&gt;0,17.916667,If(Rocky_substrate&gt;0,10,13.333333)),If(Cover_woody_exotics&gt;5,8.333333,0.833333))))))</w:t>
      </w:r>
    </w:p>
    <w:p w:rsidR="006661D1" w:rsidRPr="002D349D" w:rsidRDefault="006661D1" w:rsidP="006661D1">
      <w:pPr>
        <w:rPr>
          <w:sz w:val="18"/>
          <w:szCs w:val="18"/>
        </w:rPr>
      </w:pPr>
      <w:r w:rsidRPr="002D349D">
        <w:rPr>
          <w:sz w:val="18"/>
          <w:szCs w:val="18"/>
        </w:rPr>
        <w:lastRenderedPageBreak/>
        <w:t>Tree:7: =If(Cover_Them_Poa&gt;1,If(Cover_annual_exotics&gt;1,If(Large_TreePerHa&gt;3,If(Diversity_native_forbs&gt;2,79,If(Cover_Debris&gt;1,If(Large_TreePerHa&gt;8,78.333333,68),If(Cover_Eucalyptus&gt;10,63.75,If(Cover_per_ex_grass_herbs&gt;5,60,57)))),If(Cover_Them_Poa&gt;20,60,If(Cover_Them_Poa&gt;10,50,45))),If(Cover_per_ex_grass_herbs&gt;1,67,If(Cover_Eucalyptus&gt;0,If(Cover_Them_Poa&gt;45,93.333333,If(Large_TreePerHa&gt;4,89.166667,80.625)),66.666667))),If(Cover_all_nat_Poaceae&gt;1,If(Cover_all_nat_Poaceae&gt;70,68.571429,If(Large_TreePerHa&gt;2,If(Cover_annual_exotics&gt;50,41.428571,57),If(Cover_woody_exotics&gt;65,42.727273,If(Cover_annual_exotics&gt;35,If(Large_TreePerHa&gt;0,31.428571,42),If(Cover_Debris&gt;0,If(Large_TreePerHa&gt;0,If(Rocky_substrate&gt;0,If(Cover_Eucalyptus&gt;5,20,10),26.666667),32.5),5))))),If(Cover_Eucalyptus&gt;0,30,If(Cover_annual_exotics&gt;0,If(Bare_ground&gt;1,13.333333,4.090909),0))))</w:t>
      </w:r>
    </w:p>
    <w:p w:rsidR="006661D1" w:rsidRPr="002D349D" w:rsidRDefault="006661D1" w:rsidP="006661D1">
      <w:pPr>
        <w:rPr>
          <w:sz w:val="18"/>
          <w:szCs w:val="18"/>
        </w:rPr>
      </w:pPr>
      <w:r w:rsidRPr="002D349D">
        <w:rPr>
          <w:sz w:val="18"/>
          <w:szCs w:val="18"/>
        </w:rPr>
        <w:t>Tree:8: =If(Cover_Them_Poa&gt;1,If(Cover_Shrubs&gt;0,If(Cover_annual_exotics&gt;25,55.833333,If(Cover_per_ex_grass_herbs&gt;0,If(Cover_all_nat_Poaceae&gt;30,If(Cover_woody_exotics&gt;5,63.75,If(Cover_Shrubs&gt;1,73.214286,78.888889)),60),If(Large_TreePerHa&gt;8,If(Cover_Eucalyptus&gt;10,100,91.25),If(Cover_Them_Poa&gt;10,79.375,93.333333)))),If(Cover_Debris&gt;0,If(Cover_annual_exotics&gt;10,52,40),58.333333)),If(Cover_all_nat_Poaceae&gt;0,If(Cover_per_ex_grass_herbs&gt;0,If(Diversity_native_forbs&gt;0,If(Large_TreePerHa&gt;2,If(Cover_Debris&gt;0,52.5,23.333333),30.25),If(Cover_Shrubs&gt;1,20,12.083333)),If(Cover_Debris&gt;0,70.833333,48)),0))</w:t>
      </w:r>
    </w:p>
    <w:p w:rsidR="006661D1" w:rsidRPr="002D349D" w:rsidRDefault="006661D1" w:rsidP="006661D1">
      <w:pPr>
        <w:rPr>
          <w:sz w:val="18"/>
          <w:szCs w:val="18"/>
        </w:rPr>
      </w:pPr>
      <w:r w:rsidRPr="002D349D">
        <w:rPr>
          <w:sz w:val="18"/>
          <w:szCs w:val="18"/>
        </w:rPr>
        <w:t>Tree:9: =If(Cover_all_nat_Poaceae&gt;40,If(Diversity_native_forbs&gt;1,If(Large_TreePerHa&gt;10,91.875,If(Cover_Debris&gt;0,If(Cover_annual_exotics&gt;0,If(Cover_all_nat_Poaceae&gt;55,72.857143,61.25),79.545455),55)),If(Rocky_substrate&gt;0,57.954545,If(Large_TreePerHa&gt;1,36.666667,53.333333))),If(Cover_Eucalyptus&gt;5,If(Cover_per_ex_grass_herbs&gt;0,If(Diversity_native_forbs&gt;2,52.5,If(Large_TreePerHa&gt;10,30,If(Cover_Eucalyptus&gt;30,35.714286,If(Cover_annual_exotics&gt;25,42,48.333333)))),If(Cover_Eucalyptus&gt;25,53,90)),If(Cover_all_nat_Poaceae&gt;30,If(Cover_Them_Poa&gt;1,45.714286,33.333333),If(Cover_per_ex_grass_herbs&gt;1,20.6,1))))</w:t>
      </w:r>
    </w:p>
    <w:p w:rsidR="006661D1" w:rsidRPr="002D349D" w:rsidRDefault="006661D1" w:rsidP="006661D1">
      <w:pPr>
        <w:rPr>
          <w:sz w:val="18"/>
          <w:szCs w:val="18"/>
        </w:rPr>
      </w:pPr>
      <w:r w:rsidRPr="002D349D">
        <w:rPr>
          <w:sz w:val="18"/>
          <w:szCs w:val="18"/>
        </w:rPr>
        <w:t>Tree:10: =If(Cover_Them_Poa&gt;5,If(Bare_ground&gt;10,If(Large_TreePerHa&gt;10,93.888889,If(Cover_native_forbs&gt;10,If(Cover_woody_exotics&gt;0,If(Cover_Eucalyptus&gt;5,78.333333,70),If(Cover_Debris&gt;1,80,90.714286)),If(Diversity_native_forbs&gt;1,70,80))),If(Cover_woody_exotics&gt;5,38.333333,If(Diversity_native_forbs&gt;1,If(Cover_Shrubs&gt;1,80,If(Large_TreePerHa&gt;7,71.666667,61.666667)),58.888889))),If(Cover_all_nat_Poaceae&gt;5,If(Cover_Eucalyptus&gt;1,If(Cover_annual_exotics&gt;65,26.666667,If(Cover_all_nat_Poaceae&gt;55,45,If(Large_TreePerHa&gt;3,If(Cover_Eucalyptus&gt;5,47.5,56.666667),63.333333))),If(Cover_all_nat_Poaceae&gt;30,37.352941,If(Cover_Shrubs&gt;0,27.5,23.333333))),If(Diversity_native_forbs&gt;1,If(Rocky_substrate&gt;0,50,30),If(Cover_Eucalyptus&gt;5,33.333333,If(Cover_per_ex_grass_herbs&gt;0,If(Cover_Eucalyptus&gt;1,16.666667,If(Bare_ground&gt;1,12.083333,3.333333)),0)))))</w:t>
      </w:r>
    </w:p>
    <w:p w:rsidR="006661D1" w:rsidRPr="002D349D" w:rsidRDefault="006661D1" w:rsidP="006661D1">
      <w:pPr>
        <w:rPr>
          <w:sz w:val="18"/>
          <w:szCs w:val="18"/>
        </w:rPr>
      </w:pPr>
      <w:r w:rsidRPr="002D349D">
        <w:rPr>
          <w:sz w:val="18"/>
          <w:szCs w:val="18"/>
        </w:rPr>
        <w:t>Tree:11: =If(Cover_Them_Poa&gt;1,If(Cover_Shrubs&gt;1,If(Rocky_substrate&gt;0,If(Diversity_native_forbs&gt;2,If(Cover_Them_Poa&gt;60,76.666667,If(Large_TreePerHa&gt;10,97.142857,89.565217)),77.272727),60),If(Bare_ground&gt;1,If(Cover_woody_exotics&gt;1,68,If(Cover_per_ex_grass_herbs&gt;1,45,58.333333)),If(Cover_Them_Poa&gt;10,28.75,46.25))),If(Cover_native_forbs&gt;0,If(Cover_all_nat_Poaceae&gt;10,If(Cover_Them_Poa&gt;0,If(Large_TreePerHa&gt;1,46.666667,37.5),If(Cover_all_nat_Poaceae&gt;30,66.25,50.833333)),If(Diversity_native_forbs&gt;2,55,If(Cover_Debris&gt;1,If(Cover_Them_Poa&gt;0,20,10),29.166667))),If(Bare_ground&gt;0,If(Bare_ground&gt;80,0,If(Cover_per_ex_grass_herbs&gt;10,12.857143,25)),0)))</w:t>
      </w:r>
    </w:p>
    <w:p w:rsidR="006661D1" w:rsidRPr="002D349D" w:rsidRDefault="006661D1" w:rsidP="006661D1">
      <w:pPr>
        <w:rPr>
          <w:sz w:val="18"/>
          <w:szCs w:val="18"/>
        </w:rPr>
      </w:pPr>
      <w:r w:rsidRPr="002D349D">
        <w:rPr>
          <w:sz w:val="18"/>
          <w:szCs w:val="18"/>
        </w:rPr>
        <w:t>Tree:12: =If(Cover_Them_Poa&gt;1,If(Bare_ground&gt;10,If(Large_TreePerHa&gt;9,If(Cover_native_forbs&gt;15,If(Cover_per_ex_grass_herbs&gt;0,95,100),91.25),If(Cover_native_forbs&gt;20,88.571429,72)),If(Large_TreePerHa&gt;3,If(Cover_all_nat_Poaceae&gt;60,If(Cover_Eucalyptus&gt;15,75,89),If(Cover_woody_exotics&gt;1,43.333333,If(Cover_Them_Poa&gt;20,If(Cover_Eucalyptus&gt;15,75,66.25),If(Cover_native_forbs&gt;0,57.5,66.25)))),If(Cover_native_forbs&gt;1,61,39.444444))),If(Large_TreePerHa&gt;2,If(Cover_annual_exotics&gt;65,31.25,If(Cover_annual_exotics&gt;40,72.5,If(Large_TreePerHa&gt;5,If(Cover_all_nat_Poaceae&gt;5,54.285714,63.333333),42.5))),If(Cover_Eucalyptus&gt;0,If(Cover_Shrubs&gt;0,If(Cover_per_ex_grass_herbs&gt;5,26.666667,46.25),23.333333),If(Cover_all_nat_Poaceae&gt;5,20.555556,If(Cover_Shrubs&gt;0,13.333333,If(Cover_all_nat_Poaceae&gt;1,6.428571,0))))))</w:t>
      </w:r>
    </w:p>
    <w:p w:rsidR="006661D1" w:rsidRPr="002D349D" w:rsidRDefault="006661D1" w:rsidP="006661D1">
      <w:pPr>
        <w:rPr>
          <w:sz w:val="18"/>
          <w:szCs w:val="18"/>
        </w:rPr>
      </w:pPr>
      <w:r w:rsidRPr="002D349D">
        <w:rPr>
          <w:sz w:val="18"/>
          <w:szCs w:val="18"/>
        </w:rPr>
        <w:t>Tree:13: =If(Cover_Them_Poa&gt;1,If(Cover_Shrubs&gt;0,If(Cover_annual_exotics&gt;5,62.727273,If(Cover_per_ex_grass_herbs&gt;0,If(Cover_Eucalyptus&gt;15,85,71.5),If(Large_TreePerHa&gt;2,89.6875,85))),If(Large_TreePerHa&gt;8,70,If(Cover_Debris&gt;0,47.857143,60))),If(Large_TreePerHa&gt;0,If(Cover_annual_exotics&gt;0,If(Cover_annual_exotics&gt;65,13.75,If(Cover_per_ex_grass_herbs&gt;90,21.666667,If(Cover_Debris&gt;1,If(Cover_Eucalyptus&gt;5,23.333333,41.666667),If(Cover_Debris&gt;0,52.307692,37.142857)))),60.416667),If(Cover_all_nat_Poaceae&gt;1,If(Cover_per_ex_grass_herbs&gt;1,If(Cover_Debris&gt;5,50,If(Cover_all_nat_Poaceae&gt;5,12.142857,28.333333)),40.833333),If(Cover_Eucalyptus&gt;0,18.333333,If(Cover_all_nat_Poaceae&gt;0,4,0)))))</w:t>
      </w:r>
    </w:p>
    <w:p w:rsidR="006661D1" w:rsidRPr="002D349D" w:rsidRDefault="006661D1" w:rsidP="006661D1">
      <w:pPr>
        <w:rPr>
          <w:sz w:val="18"/>
          <w:szCs w:val="18"/>
        </w:rPr>
      </w:pPr>
      <w:r w:rsidRPr="002D349D">
        <w:rPr>
          <w:sz w:val="18"/>
          <w:szCs w:val="18"/>
        </w:rPr>
        <w:t>Tree:14: =If(Cover_all_nat_Poaceae&gt;25,If(Cover_Shrubs&gt;1,If(Large_TreePerHa&gt;9,If(Large_TreePerHa&gt;10,94.166667,98.333333),If(Diversity_native_forbs&gt;1,If(Cover_Debris&gt;1,If(Large_TreePerHa&gt;2,80,87),If(Large_TreePerHa&gt;4,60,75)),53.333333)),If(Bare_ground&gt;10,65.833333,If(Cover_native_forbs&gt;1,If(Rocky_substrate&gt;0,If(Cover_Shrubs&gt;0,70,If(Cover_Them_Poa&gt;10,57.857143,48.333333)),If(Cover_Eucalyptus&gt;5,55,40)),If(Large_TreePerHa&gt;3,53.75,37)))),If(Cover_Eucalyptus&gt;0,If(Cover_per_ex_grass_herbs&gt;25,If(Bare_ground&gt;1,14.375,If(Cover_Eucalyptus&gt;10,15,45)),If(Bare_ground&gt;70,13,If(Large_TreePerHa&gt;3,29.444444,If(Cover_Shrubs&gt;1,43.125,If(Cover_Eucalyptus&gt;1,60,65))))),If(Cover_Shrubs&gt;0,47.5,If(Cover_all_nat_Poaceae&gt;0,7.727273,0))))</w:t>
      </w:r>
    </w:p>
    <w:p w:rsidR="006661D1" w:rsidRPr="002D349D" w:rsidRDefault="006661D1" w:rsidP="006661D1">
      <w:pPr>
        <w:rPr>
          <w:sz w:val="18"/>
          <w:szCs w:val="18"/>
        </w:rPr>
      </w:pPr>
      <w:r w:rsidRPr="002D349D">
        <w:rPr>
          <w:sz w:val="18"/>
          <w:szCs w:val="18"/>
        </w:rPr>
        <w:t>Tree:15: =If(Cover_Them_Poa&gt;1,If(Cover_annual_exotics&gt;15,If(Cover_Shrubs&gt;1,67.5,If(Large_TreePerHa&gt;7,55,If(Cover_all_nat_Poaceae&gt;45,53.75,42))),If(Cover_Eucalyptus&gt;5,If(Cover_per_ex_grass_herbs&gt;0,If(Cover_Shrubs&gt;5,80,71),If(Large_TreePerHa&gt;0,If(Cover_native_forbs&gt;15,96.666667,90),81.25)),67.894737)),If(Cover_Eucalyptus&gt;1,If(Cover_all_nat_Poaceae&gt;15,If(Cover_all_nat_Poaceae&gt;40,30,If(Cover_Eucalyptus&gt;10,65.555556,47.5)),If(Cover_native_forbs&gt;0,If(Cover_annual_exotics&gt;25,If(Cover_per_ex_grass_herbs&gt;10,40.555556,22.5),56.666667),If(Bare_ground&gt;1,21.944444,37.5))),If(Cover_all_nat_Poaceae&gt;1,If(Cover_annual_exotics&gt;15,If(Cover_all_nat_Poaceae&gt;5,If(Cover_all_nat_Poaceae&gt;25,12.857143,22),10),28.571429),4.642857)))</w:t>
      </w:r>
    </w:p>
    <w:p w:rsidR="006661D1" w:rsidRPr="002D349D" w:rsidRDefault="006661D1" w:rsidP="006661D1">
      <w:pPr>
        <w:rPr>
          <w:sz w:val="18"/>
          <w:szCs w:val="18"/>
        </w:rPr>
      </w:pPr>
      <w:r w:rsidRPr="002D349D">
        <w:rPr>
          <w:sz w:val="18"/>
          <w:szCs w:val="18"/>
        </w:rPr>
        <w:t>Tree:16: =If(Cover_all_nat_Poaceae&gt;5,If(Cover_Them_Poa&gt;5,If(Bare_ground&gt;10,If(Cover_per_ex_grass_herbs&gt;1,If(Cover_Eucalyptus&gt;10,77</w:t>
      </w:r>
      <w:r w:rsidRPr="002D349D">
        <w:rPr>
          <w:sz w:val="18"/>
          <w:szCs w:val="18"/>
        </w:rPr>
        <w:lastRenderedPageBreak/>
        <w:t>.5,83.75),If(Diversity_native_forbs&gt;2,94.090909,88.333333)),If(Cover_all_nat_Poaceae&gt;60,72.5,If(Cover_Eucalyptus&gt;10,66.25,If(Cover_per_ex_grass_herbs&gt;10,48.75,57.5)))),If(Cover_annual_exotics&gt;30,If(Bare_ground&gt;1,If(Cover_Them_Poa&gt;0,33.333333,If(Cover_Eucalyptus&gt;1,23.333333,15.833333)),52.5),If(Cover_woody_exotics&gt;0,42,58.125))),If(Cover_Shrubs&gt;1,40,If(Cover_Eucalyptus&gt;1,If(Cover_woody_exotics&gt;0,If(Large_TreePerHa&gt;7,16,10),20.5),If(Cover_woody_exotics&gt;5,If(Cover_Eucalyptus&gt;0,10,8),If(Cover_Debris&gt;1,5,0.5)))))</w:t>
      </w:r>
    </w:p>
    <w:p w:rsidR="006661D1" w:rsidRPr="002D349D" w:rsidRDefault="006661D1" w:rsidP="006661D1">
      <w:pPr>
        <w:rPr>
          <w:sz w:val="18"/>
          <w:szCs w:val="18"/>
        </w:rPr>
      </w:pPr>
      <w:r w:rsidRPr="002D349D">
        <w:rPr>
          <w:sz w:val="18"/>
          <w:szCs w:val="18"/>
        </w:rPr>
        <w:t>Tree:17: =If(Cover_Them_Poa&gt;5,If(Cover_Shrubs&gt;1,If(Cover_annual_exotics&gt;5,63.571429,If(Rocky_substrate&gt;0,If(Cover_Them_Poa&gt;40,If(Large_TreePerHa&gt;2,If(Cover_Eucalyptus&gt;5,If(Cover_annual_exotics&gt;0,95,100),95),88.333333),88.214286),71.25)),If(Large_TreePerHa&gt;8,71.111111,If(Cover_Eucalyptus&gt;0,47.692308,60))),If(Cover_all_nat_Poaceae&gt;65,If(Bare_ground&gt;5,71.666667,50),If(Cover_Eucalyptus&gt;1,If(Cover_annual_exotics&gt;0,If(Cover_woody_exotics&gt;0,50,If(Rocky_substrate&gt;0,If(Cover_all_nat_Poaceae&gt;5,47.5,If(Cover_Eucalyptus&gt;20,32,18.333333)),24.615385)),62),If(Cover_all_nat_Poaceae&gt;5,If(Cover_annual_exotics&gt;40,42.142857,If(Cover_per_ex_grass_herbs&gt;10,21,27.142857)),If(Cover_woody_exotics&gt;0,10.833333,4)))))</w:t>
      </w:r>
    </w:p>
    <w:p w:rsidR="006661D1" w:rsidRPr="002D349D" w:rsidRDefault="006661D1" w:rsidP="006661D1">
      <w:pPr>
        <w:rPr>
          <w:sz w:val="18"/>
          <w:szCs w:val="18"/>
        </w:rPr>
      </w:pPr>
      <w:r w:rsidRPr="002D349D">
        <w:rPr>
          <w:sz w:val="18"/>
          <w:szCs w:val="18"/>
        </w:rPr>
        <w:t>Tree:18: =If(Cover_all_nat_Poaceae&gt;30,If(Bare_ground&gt;10,If(Large_TreePerHa&gt;4,If(Cover_Debris&gt;0,If(Large_TreePerHa&gt;9,If(Diversity_native_forbs&gt;2,93.333333,86.25),75.625),95),71.470588),If(Rocky_substrate&gt;0,If(Large_TreePerHa&gt;8,70.555556,If(Cover_Eucalyptus&gt;35,75,If(Cover_Them_Poa&gt;30,63.571429,52.241379))),If(Cover_Eucalyptus&gt;0,If(Cover_Eucalyptus&gt;15,40,53.333333),25))),If(Cover_Eucalyptus&gt;1,If(Large_TreePerHa&gt;11,13.333333,If(Cover_per_ex_grass_herbs&gt;75,20.714286,If(Cover_per_ex_grass_herbs&gt;1,If(Bare_ground&gt;1,51.666667,35),If(Cover_Eucalyptus&gt;10,If(Cover_Eucalyptus&gt;30,36.666667,30),23.571429)))),If(Cover_all_nat_Poaceae&gt;1,15,If(Cover_all_nat_Poaceae&gt;0,5,0))))</w:t>
      </w:r>
    </w:p>
    <w:p w:rsidR="006661D1" w:rsidRPr="002D349D" w:rsidRDefault="006661D1" w:rsidP="006661D1">
      <w:pPr>
        <w:rPr>
          <w:sz w:val="18"/>
          <w:szCs w:val="18"/>
        </w:rPr>
      </w:pPr>
      <w:r w:rsidRPr="002D349D">
        <w:rPr>
          <w:sz w:val="18"/>
          <w:szCs w:val="18"/>
        </w:rPr>
        <w:t>Tree:19: =If(Cover_Them_Poa&gt;5,If(Cover_annual_exotics&gt;5,If(Cover_Eucalyptus&gt;25,80,If(Diversity_native_forbs&gt;2,72,If(Bare_ground&gt;1,48.928571,58.333333))),If(Cover_Them_Poa&gt;30,If(Cover_Eucalyptus&gt;5,If(Large_TreePerHa&gt;2,If(Cover_per_ex_grass_herbs&gt;0,95,100),93.333333),82),If(Cover_native_forbs&gt;1,If(Cover_Them_Poa&gt;20,60,If(Cover_all_nat_Poaceae&gt;10,73.5,86.666667)),84))),If(Cover_Eucalyptus&gt;1,If(Cover_all_nat_Poaceae&gt;15,If(Bare_ground&gt;5,If(Large_TreePerHa&gt;0,56.875,65.833333),If(Bare_ground&gt;1,If(Cover_Eucalyptus&gt;15,42.5,25),61)),If(Diversity_native_forbs&gt;1,58.333333,If(Cover_annual_exotics&gt;55,40.5,If(Bare_ground&gt;1,18.333333,36)))),If(Cover_all_nat_Poaceae&gt;10,If(Cover_all_nat_Poaceae&gt;50,52,If(Cover_Them_Poa&gt;1,37.5,If(Cover_annual_exotics&gt;35,21.363636,30))),If(Cover_all_nat_Poaceae&gt;1,12.5,If(Cover_annual_exotics&gt;0,5,0)))))</w:t>
      </w:r>
    </w:p>
    <w:p w:rsidR="006661D1" w:rsidRPr="002D349D" w:rsidRDefault="006661D1" w:rsidP="006661D1">
      <w:pPr>
        <w:rPr>
          <w:sz w:val="18"/>
          <w:szCs w:val="18"/>
        </w:rPr>
      </w:pPr>
      <w:r w:rsidRPr="002D349D">
        <w:rPr>
          <w:sz w:val="18"/>
          <w:szCs w:val="18"/>
        </w:rPr>
        <w:t>Tree:20: =If(Cover_Them_Poa&gt;1,If(Cover_Shrubs&gt;1,If(Cover_woody_exotics&gt;1,56.666667,If(Cover_Eucalyptus&gt;5,If(Large_TreePerHa&gt;9,If(Cover_Eucalyptus&gt;10,97.5,88.333333),81.842105),69.285714)),If(Cover_native_forbs&gt;5,67.307692,If(Large_TreePerHa&gt;8,76.666667,If(Large_TreePerHa&gt;5,55.833333,If(Bare_ground&gt;5,53,43.846154))))),If(Cover_Eucalyptus&gt;10,If(Large_TreePerHa&gt;1,If(Cover_annual_exotics&gt;25,32.5,42.5),61.25),If(Cover_annual_exotics&gt;75,7.5,If(Cover_native_forbs&gt;0,If(Diversity_native_forbs&gt;2,42.5,If(Cover_Them_Poa&gt;0,37.5,If(Cover_Eucalyptus&gt;5,35,18.333333))),If(Cover_all_nat_Poaceae&gt;30,37,If(Cover_Eucalyptus&gt;0,20.555556,If(Cover_all_nat_Poaceae&gt;25,13.333333,1.666667)))))))</w:t>
      </w:r>
    </w:p>
    <w:p w:rsidR="006661D1" w:rsidRPr="002D349D" w:rsidRDefault="006661D1" w:rsidP="006661D1">
      <w:pPr>
        <w:rPr>
          <w:sz w:val="18"/>
          <w:szCs w:val="18"/>
        </w:rPr>
      </w:pPr>
      <w:r>
        <w:rPr>
          <w:sz w:val="18"/>
          <w:szCs w:val="18"/>
        </w:rPr>
        <w:t>T</w:t>
      </w:r>
      <w:r w:rsidRPr="002D349D">
        <w:rPr>
          <w:sz w:val="18"/>
          <w:szCs w:val="18"/>
        </w:rPr>
        <w:t>ree:21: =If(Cover_Them_Poa&gt;1,If(Diversity_native_forbs&gt;2,If(Large_TreePerHa&gt;5,If(Cover_Eucalyptus&gt;15,100,90.384615),If(Cover_Shrubs&gt;1,If(Cover_woody_exotics&gt;0,75,86.666667),74.166667)),If(Cover_all_nat_Poaceae&gt;60,If(Cover_Eucalyptus&gt;5,88,72.5),If(Cover_Eucalyptus&gt;1,58.809524,36.666667))),If(Cover_all_nat_Poaceae&gt;15,If(Cover_annual_exotics&gt;30,If(Cover_all_nat_Poaceae&gt;30,32.857143,21),If(Cover_Them_Poa&gt;0,36.666667,If(Cover_Eucalyptus&gt;5,61.363636,46.25))),If(Diversity_native_forbs&gt;1,45,If(Bare_ground&gt;10,35.714286,If(Cover_all_nat_Poaceae&gt;1,If(Cover_all_nat_Poaceae&gt;5,25.909091,18.25),If(Cover_all_nat_Poaceae&gt;0,10,1))))))</w:t>
      </w:r>
    </w:p>
    <w:p w:rsidR="006661D1" w:rsidRPr="002D349D" w:rsidRDefault="006661D1" w:rsidP="006661D1">
      <w:pPr>
        <w:rPr>
          <w:sz w:val="18"/>
          <w:szCs w:val="18"/>
        </w:rPr>
      </w:pPr>
      <w:r w:rsidRPr="002D349D">
        <w:rPr>
          <w:sz w:val="18"/>
          <w:szCs w:val="18"/>
        </w:rPr>
        <w:t>Tree:22: =If(Cover_Them_Poa&gt;1,If(Cover_Shrubs&gt;0,If(Cover_per_ex_grass_herbs&gt;10,56.25,If(Rocky_substrate&gt;0,If(Cover_Them_Poa&gt;30,If(Cover_native_forbs&gt;20,96.25,If(Cover_all_nat_Poaceae&gt;60,91.666667,If(Large_TreePerHa&gt;5,85,82.5))),77.916667),70)),If(Cover_annual_exotics&gt;40,36.666667,If(Large_TreePerHa&gt;8,70,If(Cover_per_ex_grass_herbs&gt;15,49,56.153846)))),If(Large_TreePerHa&gt;2,If(Cover_annual_exotics&gt;30,40.9375,55.833333),If(Cover_annual_exotics&gt;1,If(Diversity_native_forbs&gt;1,43.333333,If(Bare_ground&gt;1,If(Diversity_native_forbs&gt;0,If(Cover_woody_exotics&gt;90,8.333333,25.833333),If(Rocky_substrate&gt;0,19,12.777778)),5)),If(Cover_per_ex_grass_herbs&gt;5,20,45))))</w:t>
      </w:r>
    </w:p>
    <w:p w:rsidR="006661D1" w:rsidRPr="002D349D" w:rsidRDefault="006661D1" w:rsidP="006661D1">
      <w:pPr>
        <w:rPr>
          <w:sz w:val="18"/>
          <w:szCs w:val="18"/>
        </w:rPr>
      </w:pPr>
      <w:r w:rsidRPr="002D349D">
        <w:rPr>
          <w:sz w:val="18"/>
          <w:szCs w:val="18"/>
        </w:rPr>
        <w:t>Tree:23: =If(Cover_Them_Poa&gt;5,If(Cover_per_ex_grass_herbs&gt;5,If(Cover_Eucalyptus&gt;10,68.75,If(Rocky_substrate&gt;0,48.125,62)),If(Cover_per_ex_grass_herbs&gt;0,If(Large_TreePerHa&gt;10,86.666667,If(Large_TreePerHa&gt;5,66,If(Rocky_substrate&gt;0,78.333333,70))),If(Cover_Shrubs&gt;5,90.909091,If(Cover_all_nat_Poaceae&gt;55,85,76.666667)))),If(Large_TreePerHa&gt;2,If(Cover_native_forbs&gt;0,If(Cover_annual_exotics&gt;30,46.333333,If(Cover_Eucalyptus&gt;15,65.555556,50.5)),If(Large_TreePerHa&gt;6,16.666667,46)),If(Rocky_substrate&gt;0,If(Cover_native_forbs&gt;0,If(Cover_per_ex_grass_herbs&gt;25,If(Cover_woody_exotics&gt;80,15,31.666667),46.153846),18.666667),If(Cover_all_nat_Poaceae&gt;5,18.75,If(Cover_Eucalyptus&gt;5,11.666667,If(Cover_all_nat_Poaceae&gt;0,5,If(Cover_per_ex_grass_herbs&gt;0,0,2.5)))))))</w:t>
      </w:r>
    </w:p>
    <w:p w:rsidR="006661D1" w:rsidRPr="002D349D" w:rsidRDefault="006661D1" w:rsidP="006661D1">
      <w:pPr>
        <w:rPr>
          <w:sz w:val="18"/>
          <w:szCs w:val="18"/>
        </w:rPr>
      </w:pPr>
      <w:r w:rsidRPr="002D349D">
        <w:rPr>
          <w:sz w:val="18"/>
          <w:szCs w:val="18"/>
        </w:rPr>
        <w:t>Tree:24: =If(Cover_all_nat_Poaceae&gt;50,If(Cover_native_forbs&gt;5,If(Cover_Shrubs&gt;1,If(Large_TreePerHa&gt;9,If(Cover_native_forbs&gt;15,96.25,87),If(Cover_Shrubs&gt;5,If(Large_TreePerHa&gt;2,85,92.5),80.555556)),65),If(Large_TreePerHa&gt;1,If(Cover_per_ex_grass_herbs&gt;5,40,70.588235),If(Cover_Them_Poa&gt;0,34.285714,51.666667))),If(Cover_Eucalyptus&gt;5,If(Rocky_substrate&gt;0,If(Cover_Debris&gt;1,If(Cover_per_ex_grass_herbs&gt;5,If(Large_TreePerHa&gt;7,63.333333,73.333333),60),If(Cover_Shrubs&gt;0,55,40.384615)),If(Cover_Eucalyptus&gt;45,11.25,20)),If(Cover_all_nat_Poaceae&gt;30,If(Cover_Debris&gt;0,If(Cover_Them_Poa&gt;1,27.5,37.857143),48.333333),If(Diversity_native_forbs&gt;1,51.666667,If(Cover_Shrubs&gt;0,If(Cover_Eucalyptus&gt;0,31.25,13),If(Diversity_native_forbs&gt;0,If(Cover_all_nat_Poaceae&gt;1,15,If(Cover_Eucalyptus&gt;0,10,5.833333)),If(Cover_annual_exotics&gt;35,7,1.25)))))))</w:t>
      </w:r>
    </w:p>
    <w:p w:rsidR="006661D1" w:rsidRPr="002D349D" w:rsidRDefault="006661D1" w:rsidP="006661D1">
      <w:pPr>
        <w:rPr>
          <w:sz w:val="18"/>
          <w:szCs w:val="18"/>
        </w:rPr>
      </w:pPr>
      <w:r w:rsidRPr="002D349D">
        <w:rPr>
          <w:sz w:val="18"/>
          <w:szCs w:val="18"/>
        </w:rPr>
        <w:t>Tree:25: =If(Cover_Them_Poa&gt;1,If(Cover_annual_exotics&gt;5,If(Cover_woody_exotics&gt;0,If(Bare_ground&gt;5,55,If(Cover_Them_Poa&gt;30,76.363636,62)),If(Cover_Debris&gt;5,63.333333,If(Cover_Eucalyptus&gt;5,37.5,49))),If(Cover_per_ex_grass_herbs&gt;10,60,If(Large_TreePerHa&gt;1,If(Cover_Them_Poa&gt;30,If(Cover_Shrubs&gt;10,88.75,96.111111),If(Cover_all_nat_Poaceae&gt;75,90,84.375)),77))),If(Cover_native_forbs</w:t>
      </w:r>
      <w:r w:rsidRPr="002D349D">
        <w:rPr>
          <w:sz w:val="18"/>
          <w:szCs w:val="18"/>
        </w:rPr>
        <w:lastRenderedPageBreak/>
        <w:t>&gt;0,If(Cover_Eucalyptus&gt;0,If(Cover_Debris&gt;5,75,If(Cover_all_nat_Poaceae&gt;1,If(Cover_all_nat_Poaceae&gt;20,If(Cover_Eucalyptus&gt;5,58.125,40.714286),If(Cover_annual_exotics&gt;5,If(Rocky_substrate&gt;0,If(Large_TreePerHa&gt;0,37.142857,53.333333),27.5),26.25)),62.5)),23.333333),If(Cover_all_nat_Poaceae&gt;1,If(Cover_per_ex_grass_herbs&gt;10,If(Cover_Shrubs&gt;0,26,14.166667),33.5),If(Cover_Eucalyptus&gt;0,14.166667,0))))</w:t>
      </w:r>
    </w:p>
    <w:p w:rsidR="006661D1" w:rsidRPr="002D349D" w:rsidRDefault="006661D1" w:rsidP="006661D1">
      <w:pPr>
        <w:rPr>
          <w:sz w:val="18"/>
          <w:szCs w:val="18"/>
        </w:rPr>
      </w:pPr>
      <w:r w:rsidRPr="002D349D">
        <w:rPr>
          <w:sz w:val="18"/>
          <w:szCs w:val="18"/>
        </w:rPr>
        <w:t>Tree:26: =If(Cover_Them_Poa&gt;1,If(Cover_Shrubs&gt;0,If(Rocky_substrate&gt;0,If(Large_TreePerHa&gt;10,91.666667,If(Cover_per_ex_grass_herbs&gt;1,72.058824,If(Large_TreePerHa&gt;4,If(Cover_annual_exotics&gt;1,87,68.125),85.714286))),62),If(Cover_per_ex_grass_herbs&gt;1,51.666667,If(Rocky_substrate&gt;0,73,55))),If(Diversity_native_forbs&gt;0,If(Cover_annual_exotics&gt;45,If(Cover_Eucalyptus&gt;5,If(Cover_Debris&gt;0,26,40),If(Rocky_substrate&gt;0,25.454545,15)),If(Large_TreePerHa&gt;1,If(Bare_ground&gt;1,If(Cover_all_nat_Poaceae&gt;50,62.5,45),68.75),If(Cover_woody_exotics&gt;85,10,38.636364))),If(Cover_all_nat_Poaceae&gt;5,If(Cover_Debris&gt;0,33.636364,12),If(Cover_Eucalyptus&gt;0,10,2))))</w:t>
      </w:r>
    </w:p>
    <w:p w:rsidR="006661D1" w:rsidRPr="002D349D" w:rsidRDefault="006661D1" w:rsidP="006661D1">
      <w:pPr>
        <w:rPr>
          <w:sz w:val="18"/>
          <w:szCs w:val="18"/>
        </w:rPr>
      </w:pPr>
      <w:r w:rsidRPr="002D349D">
        <w:rPr>
          <w:sz w:val="18"/>
          <w:szCs w:val="18"/>
        </w:rPr>
        <w:t>Tree:27: =If(Cover_Them_Poa&gt;1,If(Cover_native_forbs&gt;10,If(Cover_Eucalyptus&gt;0,If(Large_TreePerHa&gt;8,If(Cover_Eucalyptus&gt;15,97,90),If(Cover_Eucalyptus&gt;5,84,90)),If(Cover_Them_Poa&gt;30,53.333333,70)),If(Cover_native_forbs&gt;0,If(Cover_Eucalyptus&gt;1,If(Cover_all_nat_Poaceae&gt;30,If(Bare_ground&gt;10,58.333333,If(Diversity_native_forbs&gt;1,If(Cover_Them_Poa&gt;30,70.9375,77.5),If(Cover_annual_exotics&gt;10,61.428571,69))),53.75),50),34)),If(Cover_Eucalyptus&gt;5,If(Cover_all_nat_Poaceae&gt;5,If(Cover_Them_Poa&gt;0,76.666667,54.6875),If(Cover_per_ex_grass_herbs&gt;1,If(Large_TreePerHa&gt;2,16.666667,30.625),41.666667)),If(Cover_all_nat_Poaceae&gt;30,29.285714,If(Bare_ground&gt;15,0,15.8))))</w:t>
      </w:r>
    </w:p>
    <w:p w:rsidR="006661D1" w:rsidRPr="002D349D" w:rsidRDefault="006661D1" w:rsidP="006661D1">
      <w:pPr>
        <w:rPr>
          <w:sz w:val="18"/>
          <w:szCs w:val="18"/>
        </w:rPr>
      </w:pPr>
      <w:r w:rsidRPr="002D349D">
        <w:rPr>
          <w:sz w:val="18"/>
          <w:szCs w:val="18"/>
        </w:rPr>
        <w:t>Tree:28: =If(Cover_Them_Poa&gt;5,If(Cover_per_ex_grass_herbs&gt;5,If(Cover_annual_exotics&gt;20,63.333333,45),If(Cover_annual_exotics&gt;1,If(Cover_all_nat_Poaceae&gt;50,68.333333,80),If(Cover_Eucalyptus&gt;10,97.5,If(Large_TreePerHa&gt;4,If(Cover_Them_Poa&gt;20,89.375,81.666667),79)))),If(Cover_Eucalyptus&gt;0,If(Cover_Debris&gt;5,If(Bare_ground&gt;10,90,57.142857),If(Cover_per_ex_grass_herbs&gt;90,14,If(Bare_ground&gt;70,20,If(Cover_Shrubs&gt;5,20,If(Cover_woody_exotics&gt;25,26,If(Cover_native_forbs&gt;5,73.333333,If(Cover_annual_exotics&gt;5,If(Cover_native_forbs&gt;1,If(Cover_Eucalyptus&gt;20,52.5,40),If(Cover_annual_exotics&gt;60,58.333333,52.142857)),If(Cover_Shrubs&gt;0,54.166667,36.818182)))))))),If(Cover_Debris&gt;0,28.636364,If(Cover_all_nat_Poaceae&gt;0,11.25,0))))</w:t>
      </w:r>
    </w:p>
    <w:p w:rsidR="006661D1" w:rsidRPr="002D349D" w:rsidRDefault="006661D1" w:rsidP="006661D1">
      <w:pPr>
        <w:rPr>
          <w:sz w:val="18"/>
          <w:szCs w:val="18"/>
        </w:rPr>
      </w:pPr>
      <w:r w:rsidRPr="002D349D">
        <w:rPr>
          <w:sz w:val="18"/>
          <w:szCs w:val="18"/>
        </w:rPr>
        <w:t>Tree:29: =If(Cover_Them_Poa&gt;5,If(Cover_annual_exotics&gt;5,If(Large_TreePerHa&gt;7,If(Cover_Eucalyptus&gt;10,72.5,63.333333),48.5),If(Large_TreePerHa&gt;9,If(Cover_Them_Poa&gt;20,91.666667,100),If(Cover_per_ex_grass_herbs&gt;0,If(Cover_all_nat_Poaceae&gt;50,82,63.333333),86.875))),If(Cover_Eucalyptus&gt;0,If(Cover_per_ex_grass_herbs&gt;75,12.5,If(Cover_Eucalyptus&gt;45,20,If(Bare_ground&gt;5,If(Cover_Eucalyptus&gt;10,If(Large_TreePerHa&gt;5,64.375,82),54),If(Large_TreePerHa&gt;8,27.5,If(Bare_ground&gt;1,If(Cover_Eucalyptus&gt;5,48,23.333333),If(Cover_Them_Poa&gt;0,If(Rocky_substrate&gt;0,53.333333,45),68.333333)))))),If(Bare_ground&gt;0,If(Cover_all_nat_Poaceae&gt;10,32.857143,If(Cover_Debris&gt;5,33.75,If(Cover_native_forbs&gt;0,7.5,20))),0)))</w:t>
      </w:r>
    </w:p>
    <w:p w:rsidR="006661D1" w:rsidRPr="002D349D" w:rsidRDefault="006661D1" w:rsidP="006661D1">
      <w:pPr>
        <w:rPr>
          <w:sz w:val="18"/>
          <w:szCs w:val="18"/>
        </w:rPr>
      </w:pPr>
      <w:r w:rsidRPr="002D349D">
        <w:rPr>
          <w:sz w:val="18"/>
          <w:szCs w:val="18"/>
        </w:rPr>
        <w:t>Tree:30: =If(Cover_Them_Poa&gt;1,If(Bare_ground&gt;10,If(Large_TreePerHa&gt;9,If(Cover_Eucalyptus&gt;10,If(Large_TreePerHa&gt;10,95,100),89),If(Cover_Debris&gt;0,79.583333,95)),If(Cover_woody_exotics&gt;5,41,If(Rocky_substrate&gt;0,If(Cover_annual_exotics&gt;25,If(Cover_all_nat_Poaceae&gt;40,68.75,56.25),If(Large_TreePerHa&gt;10,85,If(Cover_annual_exotics&gt;0,71.25,80))),55))),If(Cover_native_forbs&gt;0,If(Cover_all_nat_Poaceae&gt;90,80,If(Large_TreePerHa&gt;2,If(Large_TreePerHa&gt;8,41.25,58.4375),If(Cover_Shrubs&gt;0,If(Cover_Shrubs&gt;5,38,52),If(Cover_all_nat_Poaceae&gt;5,27.5,15.833333)))),If(Cover_all_nat_Poaceae&gt;0,If(Bare_ground&gt;5,14.642857,If(Rocky_substrate&gt;0,17.142857,35)),5)))</w:t>
      </w:r>
    </w:p>
    <w:p w:rsidR="00162154" w:rsidRDefault="00162154" w:rsidP="000C5B57">
      <w:pPr>
        <w:rPr>
          <w:lang w:val="en-US"/>
        </w:rPr>
        <w:sectPr w:rsidR="00162154" w:rsidSect="0024007D">
          <w:pgSz w:w="11907" w:h="16840" w:code="9"/>
          <w:pgMar w:top="1134" w:right="1134" w:bottom="1134" w:left="1134" w:header="709" w:footer="567" w:gutter="0"/>
          <w:cols w:space="708"/>
          <w:formProt w:val="0"/>
          <w:titlePg/>
          <w:docGrid w:linePitch="360"/>
        </w:sect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9F61FE" w:rsidRPr="00AF326B" w:rsidRDefault="009F61FE" w:rsidP="00896367">
      <w:pPr>
        <w:rPr>
          <w:rFonts w:cs="Arial"/>
          <w:color w:val="228591"/>
          <w:sz w:val="40"/>
          <w:lang w:val="en-US"/>
        </w:rPr>
      </w:pPr>
    </w:p>
    <w:sectPr w:rsidR="009F61FE" w:rsidRPr="00AF326B" w:rsidSect="0024007D">
      <w:headerReference w:type="first" r:id="rId37"/>
      <w:footerReference w:type="first" r:id="rId38"/>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227A" w:rsidRDefault="00E7227A">
      <w:r>
        <w:separator/>
      </w:r>
    </w:p>
  </w:endnote>
  <w:endnote w:type="continuationSeparator" w:id="0">
    <w:p w:rsidR="00E7227A" w:rsidRDefault="00E72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207A7C">
    <w:pPr>
      <w:pStyle w:val="Footer"/>
    </w:pPr>
    <w:r>
      <w:rPr>
        <w:noProof/>
        <w:lang w:eastAsia="en-AU"/>
      </w:rPr>
      <w:drawing>
        <wp:anchor distT="0" distB="0" distL="114300" distR="114300" simplePos="0" relativeHeight="251664384" behindDoc="0" locked="0" layoutInCell="1" allowOverlap="1" wp14:anchorId="08640B1B" wp14:editId="010ACBDA">
          <wp:simplePos x="0" y="0"/>
          <wp:positionH relativeFrom="column">
            <wp:posOffset>4991100</wp:posOffset>
          </wp:positionH>
          <wp:positionV relativeFrom="paragraph">
            <wp:posOffset>-147814</wp:posOffset>
          </wp:positionV>
          <wp:extent cx="1467555" cy="42578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67555" cy="425789"/>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E7227A" w:rsidRDefault="00E7227A"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Pr="006434A0" w:rsidRDefault="00E7227A" w:rsidP="008C5E7D">
    <w:pPr>
      <w:pStyle w:val="zFooter"/>
      <w:rPr>
        <w:rStyle w:val="zRptPgNum"/>
        <w:color w:val="auto"/>
      </w:rPr>
    </w:pPr>
    <w:r>
      <w:rPr>
        <w:rStyle w:val="zRptPgNum"/>
        <w:b/>
        <w:color w:val="auto"/>
      </w:rPr>
      <w:t>Quality assessment metric for GEW</w:t>
    </w:r>
  </w:p>
  <w:p w:rsidR="00E7227A" w:rsidRPr="003F347D" w:rsidRDefault="00E7227A"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195779">
      <w:rPr>
        <w:rStyle w:val="zRptPgNum"/>
        <w:noProof/>
      </w:rPr>
      <w:t>28</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Pr="006434A0" w:rsidRDefault="00E7227A" w:rsidP="000F260F">
    <w:pPr>
      <w:pStyle w:val="zFooter"/>
      <w:rPr>
        <w:rStyle w:val="zRptPgNum"/>
        <w:color w:val="auto"/>
      </w:rPr>
    </w:pPr>
    <w:r>
      <w:rPr>
        <w:rStyle w:val="zRptPgNum"/>
        <w:b/>
        <w:color w:val="auto"/>
      </w:rPr>
      <w:t>Quality Assessment metric for GEW</w:t>
    </w:r>
  </w:p>
  <w:p w:rsidR="00E7227A" w:rsidRPr="00040071" w:rsidRDefault="00E7227A" w:rsidP="006C2C00">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195779">
      <w:rPr>
        <w:rStyle w:val="zRptPgNum"/>
        <w:noProof/>
      </w:rPr>
      <w:t>1</w:t>
    </w:r>
    <w:r w:rsidRPr="00040071">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1B719F">
    <w:pPr>
      <w:pStyle w:val="zFooter"/>
      <w:rPr>
        <w:rStyle w:val="zRptPgNum"/>
        <w:b/>
        <w:color w:val="auto"/>
      </w:rPr>
    </w:pPr>
  </w:p>
  <w:p w:rsidR="00E7227A" w:rsidRPr="006434A0" w:rsidRDefault="00E7227A" w:rsidP="00FC5E7A">
    <w:pPr>
      <w:pStyle w:val="zFooter"/>
      <w:rPr>
        <w:rStyle w:val="zRptPgNum"/>
        <w:color w:val="auto"/>
      </w:rPr>
    </w:pPr>
    <w:r>
      <w:rPr>
        <w:rStyle w:val="zRptPgNum"/>
        <w:b/>
        <w:color w:val="auto"/>
      </w:rPr>
      <w:t>Quality assessment metric for GEW</w:t>
    </w:r>
  </w:p>
  <w:p w:rsidR="00E7227A" w:rsidRPr="003F347D" w:rsidRDefault="00E7227A" w:rsidP="001B719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195779">
      <w:rPr>
        <w:rStyle w:val="zRptPgNum"/>
        <w:noProof/>
      </w:rPr>
      <w:t>19</w:t>
    </w:r>
    <w:r w:rsidRPr="003F347D">
      <w:rPr>
        <w:rStyle w:val="zRptPgNum"/>
      </w:rPr>
      <w:fldChar w:fldCharType="end"/>
    </w:r>
  </w:p>
  <w:p w:rsidR="00E7227A" w:rsidRPr="009F61FE" w:rsidRDefault="00E7227A" w:rsidP="009F61FE">
    <w:pPr>
      <w:pStyle w:val="Footer"/>
      <w:rPr>
        <w:rStyle w:val="zRptPgNum"/>
        <w:color w:val="auto"/>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Pr="009F61FE" w:rsidRDefault="00E7227A" w:rsidP="009F61FE">
    <w:pPr>
      <w:pStyle w:val="Footer"/>
      <w:rPr>
        <w:rStyle w:val="zRptPgNum"/>
        <w:color w:val="auto"/>
      </w:rPr>
    </w:pPr>
    <w:r>
      <w:rPr>
        <w:noProof/>
        <w:lang w:eastAsia="en-AU"/>
      </w:rPr>
      <mc:AlternateContent>
        <mc:Choice Requires="wps">
          <w:drawing>
            <wp:anchor distT="0" distB="0" distL="114300" distR="114300" simplePos="0" relativeHeight="251662336" behindDoc="0" locked="0" layoutInCell="1" allowOverlap="1" wp14:anchorId="43F14A82" wp14:editId="1AC42DB4">
              <wp:simplePos x="0" y="0"/>
              <wp:positionH relativeFrom="column">
                <wp:posOffset>368935</wp:posOffset>
              </wp:positionH>
              <wp:positionV relativeFrom="paragraph">
                <wp:posOffset>-2204720</wp:posOffset>
              </wp:positionV>
              <wp:extent cx="2966720" cy="1473200"/>
              <wp:effectExtent l="0" t="0" r="0" b="0"/>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227A" w:rsidRDefault="00E7227A">
                          <w:pPr>
                            <w:rPr>
                              <w:rFonts w:ascii="Arial" w:hAnsi="Arial" w:cs="Arial"/>
                              <w:color w:val="FFFFFF"/>
                            </w:rPr>
                          </w:pPr>
                        </w:p>
                        <w:p w:rsidR="00E7227A" w:rsidRDefault="00E7227A">
                          <w:pPr>
                            <w:rPr>
                              <w:rFonts w:ascii="Arial" w:hAnsi="Arial" w:cs="Arial"/>
                              <w:color w:val="FFFFFF"/>
                            </w:rPr>
                          </w:pPr>
                        </w:p>
                        <w:p w:rsidR="00E7227A" w:rsidRDefault="00E7227A">
                          <w:pPr>
                            <w:rPr>
                              <w:rFonts w:ascii="Arial" w:hAnsi="Arial" w:cs="Arial"/>
                              <w:color w:val="FFFFFF"/>
                            </w:rPr>
                          </w:pPr>
                        </w:p>
                        <w:p w:rsidR="00E7227A" w:rsidRDefault="00E7227A">
                          <w:pPr>
                            <w:rPr>
                              <w:rFonts w:ascii="Arial" w:hAnsi="Arial" w:cs="Arial"/>
                              <w:color w:val="FFFFFF"/>
                            </w:rPr>
                          </w:pPr>
                        </w:p>
                        <w:p w:rsidR="00E7227A" w:rsidRDefault="00E7227A">
                          <w:pPr>
                            <w:rPr>
                              <w:rFonts w:ascii="Arial" w:hAnsi="Arial" w:cs="Arial"/>
                              <w:color w:val="FFFFFF"/>
                            </w:rPr>
                          </w:pPr>
                        </w:p>
                        <w:p w:rsidR="00E7227A" w:rsidRPr="0090189E" w:rsidRDefault="00E7227A">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OnUsA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" filled="f" stroked="f">
              <v:textbox inset=",7.2pt,,7.2pt">
                <w:txbxContent>
                  <w:p w:rsidR="006661D1" w:rsidRDefault="006661D1">
                    <w:pPr>
                      <w:rPr>
                        <w:rFonts w:ascii="Arial" w:hAnsi="Arial" w:cs="Arial"/>
                        <w:color w:val="FFFFFF"/>
                      </w:rPr>
                    </w:pPr>
                  </w:p>
                  <w:p w:rsidR="006661D1" w:rsidRDefault="006661D1">
                    <w:pPr>
                      <w:rPr>
                        <w:rFonts w:ascii="Arial" w:hAnsi="Arial" w:cs="Arial"/>
                        <w:color w:val="FFFFFF"/>
                      </w:rPr>
                    </w:pPr>
                  </w:p>
                  <w:p w:rsidR="006661D1" w:rsidRDefault="006661D1">
                    <w:pPr>
                      <w:rPr>
                        <w:rFonts w:ascii="Arial" w:hAnsi="Arial" w:cs="Arial"/>
                        <w:color w:val="FFFFFF"/>
                      </w:rPr>
                    </w:pPr>
                  </w:p>
                  <w:p w:rsidR="006661D1" w:rsidRDefault="006661D1">
                    <w:pPr>
                      <w:rPr>
                        <w:rFonts w:ascii="Arial" w:hAnsi="Arial" w:cs="Arial"/>
                        <w:color w:val="FFFFFF"/>
                      </w:rPr>
                    </w:pPr>
                  </w:p>
                  <w:p w:rsidR="006661D1" w:rsidRDefault="006661D1">
                    <w:pPr>
                      <w:rPr>
                        <w:rFonts w:ascii="Arial" w:hAnsi="Arial" w:cs="Arial"/>
                        <w:color w:val="FFFFFF"/>
                      </w:rPr>
                    </w:pPr>
                  </w:p>
                  <w:p w:rsidR="006661D1" w:rsidRPr="0090189E" w:rsidRDefault="006661D1">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227A" w:rsidRPr="00D07E53" w:rsidRDefault="00E7227A">
      <w:pPr>
        <w:rPr>
          <w:color w:val="FFFFFF"/>
        </w:rPr>
      </w:pPr>
      <w:r w:rsidRPr="00D07E53">
        <w:rPr>
          <w:color w:val="FFFFFF"/>
        </w:rPr>
        <w:separator/>
      </w:r>
    </w:p>
  </w:footnote>
  <w:footnote w:type="continuationSeparator" w:id="0">
    <w:p w:rsidR="00E7227A" w:rsidRDefault="00E722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pPr>
      <w:pStyle w:val="Header"/>
    </w:pPr>
    <w:r>
      <w:rPr>
        <w:noProof/>
        <w:lang w:eastAsia="en-AU"/>
      </w:rPr>
      <w:drawing>
        <wp:anchor distT="0" distB="0" distL="114300" distR="114300" simplePos="0" relativeHeight="251657216" behindDoc="1" locked="0" layoutInCell="1" allowOverlap="1" wp14:anchorId="7593DBA9" wp14:editId="445EEAD7">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9046B1">
    <w:pPr>
      <w:pStyle w:val="z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27A" w:rsidRDefault="00E7227A" w:rsidP="009046B1">
    <w:pPr>
      <w:pStyle w:val="zHeader"/>
    </w:pPr>
    <w:r>
      <w:rPr>
        <w:noProof/>
        <w:lang w:eastAsia="en-AU"/>
      </w:rPr>
      <w:drawing>
        <wp:anchor distT="0" distB="0" distL="114300" distR="114300" simplePos="0" relativeHeight="251661312" behindDoc="1" locked="0" layoutInCell="1" allowOverlap="1" wp14:anchorId="16858D6E" wp14:editId="1C8F63B8">
          <wp:simplePos x="0" y="0"/>
          <wp:positionH relativeFrom="column">
            <wp:posOffset>-353060</wp:posOffset>
          </wp:positionH>
          <wp:positionV relativeFrom="paragraph">
            <wp:posOffset>-101600</wp:posOffset>
          </wp:positionV>
          <wp:extent cx="6837680" cy="9627870"/>
          <wp:effectExtent l="0" t="0" r="1270" b="0"/>
          <wp:wrapNone/>
          <wp:docPr id="22" name="Picture 22"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2564F5"/>
    <w:multiLevelType w:val="hybridMultilevel"/>
    <w:tmpl w:val="C03C589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35F7911"/>
    <w:multiLevelType w:val="hybridMultilevel"/>
    <w:tmpl w:val="8F9010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FE0312"/>
    <w:multiLevelType w:val="hybridMultilevel"/>
    <w:tmpl w:val="DEFC2B5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0E7020A9"/>
    <w:multiLevelType w:val="hybridMultilevel"/>
    <w:tmpl w:val="730C0B3C"/>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126319B3"/>
    <w:multiLevelType w:val="hybridMultilevel"/>
    <w:tmpl w:val="39E6892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12922D1D"/>
    <w:multiLevelType w:val="hybridMultilevel"/>
    <w:tmpl w:val="FE9A0DB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3D7536E"/>
    <w:multiLevelType w:val="hybridMultilevel"/>
    <w:tmpl w:val="F52E6E1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18041834"/>
    <w:multiLevelType w:val="hybridMultilevel"/>
    <w:tmpl w:val="83DC349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1AB67445"/>
    <w:multiLevelType w:val="hybridMultilevel"/>
    <w:tmpl w:val="97D404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22F83CC4"/>
    <w:multiLevelType w:val="hybridMultilevel"/>
    <w:tmpl w:val="E4E4B3A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2D2B0136"/>
    <w:multiLevelType w:val="hybridMultilevel"/>
    <w:tmpl w:val="578035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32EA78E4"/>
    <w:multiLevelType w:val="hybridMultilevel"/>
    <w:tmpl w:val="447A7C38"/>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664699E"/>
    <w:multiLevelType w:val="hybridMultilevel"/>
    <w:tmpl w:val="454619A6"/>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37404691"/>
    <w:multiLevelType w:val="hybridMultilevel"/>
    <w:tmpl w:val="DB6C6658"/>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3B766D2B"/>
    <w:multiLevelType w:val="hybridMultilevel"/>
    <w:tmpl w:val="D2EA06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1CA1D9C"/>
    <w:multiLevelType w:val="hybridMultilevel"/>
    <w:tmpl w:val="2ED2A76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7566E37"/>
    <w:multiLevelType w:val="hybridMultilevel"/>
    <w:tmpl w:val="E8B025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78203D1"/>
    <w:multiLevelType w:val="hybridMultilevel"/>
    <w:tmpl w:val="2884DCB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ABB21D8"/>
    <w:multiLevelType w:val="hybridMultilevel"/>
    <w:tmpl w:val="0292EF1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B165AB4"/>
    <w:multiLevelType w:val="hybridMultilevel"/>
    <w:tmpl w:val="CCB4B7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EEE5498"/>
    <w:multiLevelType w:val="hybridMultilevel"/>
    <w:tmpl w:val="3E800D7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8D414B6"/>
    <w:multiLevelType w:val="hybridMultilevel"/>
    <w:tmpl w:val="9EC0AF7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9263D40"/>
    <w:multiLevelType w:val="hybridMultilevel"/>
    <w:tmpl w:val="EAE265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65193D8A"/>
    <w:multiLevelType w:val="hybridMultilevel"/>
    <w:tmpl w:val="154455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61B5762"/>
    <w:multiLevelType w:val="hybridMultilevel"/>
    <w:tmpl w:val="07582DB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0">
    <w:nsid w:val="6B1E1DB5"/>
    <w:multiLevelType w:val="hybridMultilevel"/>
    <w:tmpl w:val="9FB4622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1">
    <w:nsid w:val="6B2709B8"/>
    <w:multiLevelType w:val="hybridMultilevel"/>
    <w:tmpl w:val="26643BD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nsid w:val="6DEB2E06"/>
    <w:multiLevelType w:val="hybridMultilevel"/>
    <w:tmpl w:val="AA4E079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1B74906"/>
    <w:multiLevelType w:val="hybridMultilevel"/>
    <w:tmpl w:val="6E260D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74954621"/>
    <w:multiLevelType w:val="hybridMultilevel"/>
    <w:tmpl w:val="49420196"/>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6">
    <w:nsid w:val="7B332ED7"/>
    <w:multiLevelType w:val="hybridMultilevel"/>
    <w:tmpl w:val="506E04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7CFA5D8E"/>
    <w:multiLevelType w:val="hybridMultilevel"/>
    <w:tmpl w:val="98EAB7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F8567C0"/>
    <w:multiLevelType w:val="hybridMultilevel"/>
    <w:tmpl w:val="FA88BF5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4"/>
  </w:num>
  <w:num w:numId="2">
    <w:abstractNumId w:val="17"/>
  </w:num>
  <w:num w:numId="3">
    <w:abstractNumId w:val="13"/>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42"/>
  </w:num>
  <w:num w:numId="16">
    <w:abstractNumId w:val="12"/>
  </w:num>
  <w:num w:numId="17">
    <w:abstractNumId w:val="43"/>
  </w:num>
  <w:num w:numId="18">
    <w:abstractNumId w:val="41"/>
  </w:num>
  <w:num w:numId="19">
    <w:abstractNumId w:val="36"/>
  </w:num>
  <w:num w:numId="20">
    <w:abstractNumId w:val="33"/>
  </w:num>
  <w:num w:numId="21">
    <w:abstractNumId w:val="15"/>
  </w:num>
  <w:num w:numId="22">
    <w:abstractNumId w:val="21"/>
  </w:num>
  <w:num w:numId="23">
    <w:abstractNumId w:val="48"/>
  </w:num>
  <w:num w:numId="24">
    <w:abstractNumId w:val="19"/>
  </w:num>
  <w:num w:numId="25">
    <w:abstractNumId w:val="30"/>
  </w:num>
  <w:num w:numId="26">
    <w:abstractNumId w:val="47"/>
  </w:num>
  <w:num w:numId="27">
    <w:abstractNumId w:val="32"/>
  </w:num>
  <w:num w:numId="28">
    <w:abstractNumId w:val="20"/>
  </w:num>
  <w:num w:numId="29">
    <w:abstractNumId w:val="10"/>
  </w:num>
  <w:num w:numId="30">
    <w:abstractNumId w:val="35"/>
  </w:num>
  <w:num w:numId="31">
    <w:abstractNumId w:val="31"/>
  </w:num>
  <w:num w:numId="32">
    <w:abstractNumId w:val="38"/>
  </w:num>
  <w:num w:numId="33">
    <w:abstractNumId w:val="46"/>
  </w:num>
  <w:num w:numId="34">
    <w:abstractNumId w:val="22"/>
  </w:num>
  <w:num w:numId="35">
    <w:abstractNumId w:val="11"/>
  </w:num>
  <w:num w:numId="36">
    <w:abstractNumId w:val="26"/>
  </w:num>
  <w:num w:numId="37">
    <w:abstractNumId w:val="34"/>
  </w:num>
  <w:num w:numId="38">
    <w:abstractNumId w:val="29"/>
  </w:num>
  <w:num w:numId="39">
    <w:abstractNumId w:val="37"/>
  </w:num>
  <w:num w:numId="40">
    <w:abstractNumId w:val="40"/>
  </w:num>
  <w:num w:numId="41">
    <w:abstractNumId w:val="39"/>
  </w:num>
  <w:num w:numId="42">
    <w:abstractNumId w:val="45"/>
  </w:num>
  <w:num w:numId="43">
    <w:abstractNumId w:val="23"/>
  </w:num>
  <w:num w:numId="44">
    <w:abstractNumId w:val="16"/>
  </w:num>
  <w:num w:numId="45">
    <w:abstractNumId w:val="25"/>
  </w:num>
  <w:num w:numId="46">
    <w:abstractNumId w:val="44"/>
  </w:num>
  <w:num w:numId="47">
    <w:abstractNumId w:val="27"/>
  </w:num>
  <w:num w:numId="48">
    <w:abstractNumId w:val="28"/>
  </w:num>
  <w:num w:numId="49">
    <w:abstractNumId w:val="1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removePersonalInformation/>
  <w:removeDateAndTime/>
  <w:activeWritingStyle w:appName="MSWord" w:lang="en-US" w:vendorID="64" w:dllVersion="131078" w:nlCheck="1" w:checkStyle="1"/>
  <w:activeWritingStyle w:appName="MSWord" w:lang="en-AU" w:vendorID="64" w:dllVersion="131078" w:nlCheck="1" w:checkStyle="1"/>
  <w:proofState w:spelling="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146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0767B"/>
    <w:rsid w:val="00012793"/>
    <w:rsid w:val="00014002"/>
    <w:rsid w:val="00017459"/>
    <w:rsid w:val="0002095C"/>
    <w:rsid w:val="00030DC2"/>
    <w:rsid w:val="00033DF0"/>
    <w:rsid w:val="00040071"/>
    <w:rsid w:val="00041156"/>
    <w:rsid w:val="00055FB4"/>
    <w:rsid w:val="00060A68"/>
    <w:rsid w:val="0006464C"/>
    <w:rsid w:val="00073528"/>
    <w:rsid w:val="00076886"/>
    <w:rsid w:val="00080C83"/>
    <w:rsid w:val="0008372F"/>
    <w:rsid w:val="00083FAF"/>
    <w:rsid w:val="0008754B"/>
    <w:rsid w:val="0009699E"/>
    <w:rsid w:val="000A5E54"/>
    <w:rsid w:val="000A7D35"/>
    <w:rsid w:val="000B5A26"/>
    <w:rsid w:val="000C3259"/>
    <w:rsid w:val="000C5B57"/>
    <w:rsid w:val="000D009F"/>
    <w:rsid w:val="000E02A3"/>
    <w:rsid w:val="000E0643"/>
    <w:rsid w:val="000E3720"/>
    <w:rsid w:val="000E6BF2"/>
    <w:rsid w:val="000F260F"/>
    <w:rsid w:val="000F53D4"/>
    <w:rsid w:val="000F64DD"/>
    <w:rsid w:val="00100BAC"/>
    <w:rsid w:val="00107D02"/>
    <w:rsid w:val="00120C40"/>
    <w:rsid w:val="0012196A"/>
    <w:rsid w:val="00125205"/>
    <w:rsid w:val="00145D3C"/>
    <w:rsid w:val="00156ACC"/>
    <w:rsid w:val="00162154"/>
    <w:rsid w:val="0016331C"/>
    <w:rsid w:val="0016339A"/>
    <w:rsid w:val="001640A4"/>
    <w:rsid w:val="00172BD4"/>
    <w:rsid w:val="001762C1"/>
    <w:rsid w:val="00177115"/>
    <w:rsid w:val="00187EDF"/>
    <w:rsid w:val="00195779"/>
    <w:rsid w:val="001A243B"/>
    <w:rsid w:val="001A4B7B"/>
    <w:rsid w:val="001A56C5"/>
    <w:rsid w:val="001B125D"/>
    <w:rsid w:val="001B2EC4"/>
    <w:rsid w:val="001B719F"/>
    <w:rsid w:val="001C459C"/>
    <w:rsid w:val="001C757D"/>
    <w:rsid w:val="001C76E5"/>
    <w:rsid w:val="001E2024"/>
    <w:rsid w:val="001E5279"/>
    <w:rsid w:val="001E5CCD"/>
    <w:rsid w:val="001E6313"/>
    <w:rsid w:val="001E7978"/>
    <w:rsid w:val="001F0158"/>
    <w:rsid w:val="00201045"/>
    <w:rsid w:val="00205C1D"/>
    <w:rsid w:val="00207A7C"/>
    <w:rsid w:val="00212907"/>
    <w:rsid w:val="002263C5"/>
    <w:rsid w:val="00235C7F"/>
    <w:rsid w:val="00236B80"/>
    <w:rsid w:val="0024007D"/>
    <w:rsid w:val="0025127D"/>
    <w:rsid w:val="0025192B"/>
    <w:rsid w:val="002526EA"/>
    <w:rsid w:val="002568B5"/>
    <w:rsid w:val="00257AE0"/>
    <w:rsid w:val="00257BF1"/>
    <w:rsid w:val="002628D6"/>
    <w:rsid w:val="0026474F"/>
    <w:rsid w:val="00274E8B"/>
    <w:rsid w:val="00280BE3"/>
    <w:rsid w:val="00280C2A"/>
    <w:rsid w:val="00281AEE"/>
    <w:rsid w:val="00283141"/>
    <w:rsid w:val="00285925"/>
    <w:rsid w:val="00285FC1"/>
    <w:rsid w:val="0029080F"/>
    <w:rsid w:val="0029165B"/>
    <w:rsid w:val="0029230F"/>
    <w:rsid w:val="002A0D3A"/>
    <w:rsid w:val="002A6775"/>
    <w:rsid w:val="002B212B"/>
    <w:rsid w:val="002B6E34"/>
    <w:rsid w:val="002C5BA2"/>
    <w:rsid w:val="002D330B"/>
    <w:rsid w:val="002D7E0C"/>
    <w:rsid w:val="002E0F63"/>
    <w:rsid w:val="002E72A3"/>
    <w:rsid w:val="002F042B"/>
    <w:rsid w:val="002F1812"/>
    <w:rsid w:val="002F1CD7"/>
    <w:rsid w:val="003116A1"/>
    <w:rsid w:val="0033002F"/>
    <w:rsid w:val="00330679"/>
    <w:rsid w:val="00341520"/>
    <w:rsid w:val="00342235"/>
    <w:rsid w:val="003424E6"/>
    <w:rsid w:val="003442F7"/>
    <w:rsid w:val="00345AA1"/>
    <w:rsid w:val="00346E90"/>
    <w:rsid w:val="0035608C"/>
    <w:rsid w:val="00356938"/>
    <w:rsid w:val="00360A47"/>
    <w:rsid w:val="0036305A"/>
    <w:rsid w:val="00366831"/>
    <w:rsid w:val="00371E21"/>
    <w:rsid w:val="00374CE8"/>
    <w:rsid w:val="003760E7"/>
    <w:rsid w:val="003778E8"/>
    <w:rsid w:val="00384F6A"/>
    <w:rsid w:val="00390622"/>
    <w:rsid w:val="003917F9"/>
    <w:rsid w:val="00391BA5"/>
    <w:rsid w:val="00395D9C"/>
    <w:rsid w:val="00396A82"/>
    <w:rsid w:val="003B1144"/>
    <w:rsid w:val="003C498E"/>
    <w:rsid w:val="003D2D09"/>
    <w:rsid w:val="003D36D3"/>
    <w:rsid w:val="003E0D2E"/>
    <w:rsid w:val="003E1C93"/>
    <w:rsid w:val="003E25EC"/>
    <w:rsid w:val="003E293E"/>
    <w:rsid w:val="003F347D"/>
    <w:rsid w:val="003F5344"/>
    <w:rsid w:val="003F7936"/>
    <w:rsid w:val="00401FDE"/>
    <w:rsid w:val="00402B41"/>
    <w:rsid w:val="004072F7"/>
    <w:rsid w:val="00411C88"/>
    <w:rsid w:val="00422EA7"/>
    <w:rsid w:val="00431C20"/>
    <w:rsid w:val="00431C87"/>
    <w:rsid w:val="00437824"/>
    <w:rsid w:val="004411C1"/>
    <w:rsid w:val="00444D9F"/>
    <w:rsid w:val="004536DF"/>
    <w:rsid w:val="00455AC0"/>
    <w:rsid w:val="00456417"/>
    <w:rsid w:val="004578FA"/>
    <w:rsid w:val="004650C4"/>
    <w:rsid w:val="00481C79"/>
    <w:rsid w:val="00494164"/>
    <w:rsid w:val="004A1E00"/>
    <w:rsid w:val="004A3B55"/>
    <w:rsid w:val="004A4F50"/>
    <w:rsid w:val="004A79D2"/>
    <w:rsid w:val="004B1FCF"/>
    <w:rsid w:val="004B2903"/>
    <w:rsid w:val="004C2592"/>
    <w:rsid w:val="004C2609"/>
    <w:rsid w:val="004C64E2"/>
    <w:rsid w:val="004D0888"/>
    <w:rsid w:val="004D21CD"/>
    <w:rsid w:val="004D43C6"/>
    <w:rsid w:val="004D4A68"/>
    <w:rsid w:val="004D5834"/>
    <w:rsid w:val="004E229E"/>
    <w:rsid w:val="004E6888"/>
    <w:rsid w:val="004F0AED"/>
    <w:rsid w:val="004F47F7"/>
    <w:rsid w:val="004F572C"/>
    <w:rsid w:val="004F6512"/>
    <w:rsid w:val="004F7425"/>
    <w:rsid w:val="005020AA"/>
    <w:rsid w:val="0050769F"/>
    <w:rsid w:val="00507E14"/>
    <w:rsid w:val="00507F90"/>
    <w:rsid w:val="00511F1C"/>
    <w:rsid w:val="00513E41"/>
    <w:rsid w:val="005203F4"/>
    <w:rsid w:val="005211F6"/>
    <w:rsid w:val="00524B87"/>
    <w:rsid w:val="00533C54"/>
    <w:rsid w:val="00535579"/>
    <w:rsid w:val="005356D9"/>
    <w:rsid w:val="00540762"/>
    <w:rsid w:val="00543898"/>
    <w:rsid w:val="00544E4A"/>
    <w:rsid w:val="00550F27"/>
    <w:rsid w:val="00557B67"/>
    <w:rsid w:val="00561093"/>
    <w:rsid w:val="00565E0D"/>
    <w:rsid w:val="00566FE3"/>
    <w:rsid w:val="00571ED5"/>
    <w:rsid w:val="005755BE"/>
    <w:rsid w:val="005850A3"/>
    <w:rsid w:val="00590EF3"/>
    <w:rsid w:val="00597BE4"/>
    <w:rsid w:val="005A2157"/>
    <w:rsid w:val="005C0C61"/>
    <w:rsid w:val="005E2C8F"/>
    <w:rsid w:val="00606451"/>
    <w:rsid w:val="00607A4C"/>
    <w:rsid w:val="006117B4"/>
    <w:rsid w:val="00622462"/>
    <w:rsid w:val="00623252"/>
    <w:rsid w:val="00624EAC"/>
    <w:rsid w:val="00626272"/>
    <w:rsid w:val="00642596"/>
    <w:rsid w:val="006434A0"/>
    <w:rsid w:val="0065086D"/>
    <w:rsid w:val="00652C52"/>
    <w:rsid w:val="00662DE6"/>
    <w:rsid w:val="006661D1"/>
    <w:rsid w:val="00667E8A"/>
    <w:rsid w:val="00670D6F"/>
    <w:rsid w:val="00673C98"/>
    <w:rsid w:val="0067421F"/>
    <w:rsid w:val="00674FD6"/>
    <w:rsid w:val="00675636"/>
    <w:rsid w:val="00677847"/>
    <w:rsid w:val="00680549"/>
    <w:rsid w:val="006836BA"/>
    <w:rsid w:val="006870DA"/>
    <w:rsid w:val="00695AF1"/>
    <w:rsid w:val="006A26BE"/>
    <w:rsid w:val="006B3519"/>
    <w:rsid w:val="006C0318"/>
    <w:rsid w:val="006C2C00"/>
    <w:rsid w:val="006C3999"/>
    <w:rsid w:val="006C4DEE"/>
    <w:rsid w:val="006F707D"/>
    <w:rsid w:val="006F7B44"/>
    <w:rsid w:val="0070277D"/>
    <w:rsid w:val="00706E7C"/>
    <w:rsid w:val="00733C34"/>
    <w:rsid w:val="007447EE"/>
    <w:rsid w:val="00746D78"/>
    <w:rsid w:val="00750357"/>
    <w:rsid w:val="00752FC9"/>
    <w:rsid w:val="007531F0"/>
    <w:rsid w:val="00756071"/>
    <w:rsid w:val="00767F2D"/>
    <w:rsid w:val="00787030"/>
    <w:rsid w:val="007A3996"/>
    <w:rsid w:val="007A5158"/>
    <w:rsid w:val="007A7E7D"/>
    <w:rsid w:val="007D24FB"/>
    <w:rsid w:val="007D642E"/>
    <w:rsid w:val="007E2CC1"/>
    <w:rsid w:val="007E3DA8"/>
    <w:rsid w:val="007F6A3A"/>
    <w:rsid w:val="0080119C"/>
    <w:rsid w:val="0080173B"/>
    <w:rsid w:val="00801A56"/>
    <w:rsid w:val="00805556"/>
    <w:rsid w:val="00807E7F"/>
    <w:rsid w:val="00815DD4"/>
    <w:rsid w:val="008231E7"/>
    <w:rsid w:val="00823E6F"/>
    <w:rsid w:val="0083367F"/>
    <w:rsid w:val="0083541B"/>
    <w:rsid w:val="00837ECD"/>
    <w:rsid w:val="00842339"/>
    <w:rsid w:val="00844C4C"/>
    <w:rsid w:val="0085012E"/>
    <w:rsid w:val="00852A30"/>
    <w:rsid w:val="008564A3"/>
    <w:rsid w:val="00857AC3"/>
    <w:rsid w:val="0086724C"/>
    <w:rsid w:val="0086779D"/>
    <w:rsid w:val="00896367"/>
    <w:rsid w:val="008A6BBA"/>
    <w:rsid w:val="008A7E20"/>
    <w:rsid w:val="008B61B5"/>
    <w:rsid w:val="008C345D"/>
    <w:rsid w:val="008C5E7D"/>
    <w:rsid w:val="008C6742"/>
    <w:rsid w:val="008D09F0"/>
    <w:rsid w:val="008D5ABD"/>
    <w:rsid w:val="008E11E8"/>
    <w:rsid w:val="008E15E6"/>
    <w:rsid w:val="008F3587"/>
    <w:rsid w:val="008F4372"/>
    <w:rsid w:val="008F4932"/>
    <w:rsid w:val="0090189E"/>
    <w:rsid w:val="009046B1"/>
    <w:rsid w:val="00906221"/>
    <w:rsid w:val="00911D10"/>
    <w:rsid w:val="00913CF7"/>
    <w:rsid w:val="00915310"/>
    <w:rsid w:val="009268CE"/>
    <w:rsid w:val="00926BDE"/>
    <w:rsid w:val="009354F3"/>
    <w:rsid w:val="0093635C"/>
    <w:rsid w:val="00941AF9"/>
    <w:rsid w:val="00943CC1"/>
    <w:rsid w:val="00951623"/>
    <w:rsid w:val="009575FF"/>
    <w:rsid w:val="00962D3B"/>
    <w:rsid w:val="00963A50"/>
    <w:rsid w:val="009730D5"/>
    <w:rsid w:val="00973F63"/>
    <w:rsid w:val="00981EA2"/>
    <w:rsid w:val="00982B80"/>
    <w:rsid w:val="00984750"/>
    <w:rsid w:val="009865E2"/>
    <w:rsid w:val="00986636"/>
    <w:rsid w:val="00991C27"/>
    <w:rsid w:val="00992BDA"/>
    <w:rsid w:val="00995AD5"/>
    <w:rsid w:val="009979DB"/>
    <w:rsid w:val="009A02EC"/>
    <w:rsid w:val="009B0BD9"/>
    <w:rsid w:val="009C3727"/>
    <w:rsid w:val="009C4216"/>
    <w:rsid w:val="009D359B"/>
    <w:rsid w:val="009D61CA"/>
    <w:rsid w:val="009F4E32"/>
    <w:rsid w:val="009F61FE"/>
    <w:rsid w:val="00A0021E"/>
    <w:rsid w:val="00A02906"/>
    <w:rsid w:val="00A03F1F"/>
    <w:rsid w:val="00A04614"/>
    <w:rsid w:val="00A05C6E"/>
    <w:rsid w:val="00A068E6"/>
    <w:rsid w:val="00A12C95"/>
    <w:rsid w:val="00A1529A"/>
    <w:rsid w:val="00A15796"/>
    <w:rsid w:val="00A1714D"/>
    <w:rsid w:val="00A23B1C"/>
    <w:rsid w:val="00A25CF2"/>
    <w:rsid w:val="00A3046A"/>
    <w:rsid w:val="00A311B0"/>
    <w:rsid w:val="00A378C9"/>
    <w:rsid w:val="00A37BFA"/>
    <w:rsid w:val="00A43966"/>
    <w:rsid w:val="00A44130"/>
    <w:rsid w:val="00A54A89"/>
    <w:rsid w:val="00A60CCB"/>
    <w:rsid w:val="00A67D11"/>
    <w:rsid w:val="00A730A4"/>
    <w:rsid w:val="00A735F0"/>
    <w:rsid w:val="00A73D2E"/>
    <w:rsid w:val="00A74AEE"/>
    <w:rsid w:val="00A75156"/>
    <w:rsid w:val="00A75160"/>
    <w:rsid w:val="00A815D5"/>
    <w:rsid w:val="00A81C7A"/>
    <w:rsid w:val="00A8412F"/>
    <w:rsid w:val="00A84DFA"/>
    <w:rsid w:val="00A85081"/>
    <w:rsid w:val="00A85977"/>
    <w:rsid w:val="00A94AB2"/>
    <w:rsid w:val="00A94EC1"/>
    <w:rsid w:val="00A96DF9"/>
    <w:rsid w:val="00AA289E"/>
    <w:rsid w:val="00AB0BF9"/>
    <w:rsid w:val="00AB7602"/>
    <w:rsid w:val="00AC3CBE"/>
    <w:rsid w:val="00AD130B"/>
    <w:rsid w:val="00AD2F97"/>
    <w:rsid w:val="00AD4A5D"/>
    <w:rsid w:val="00AE2643"/>
    <w:rsid w:val="00AE37B5"/>
    <w:rsid w:val="00AE7B03"/>
    <w:rsid w:val="00AF1313"/>
    <w:rsid w:val="00AF326B"/>
    <w:rsid w:val="00AF4DB4"/>
    <w:rsid w:val="00AF7962"/>
    <w:rsid w:val="00B024DB"/>
    <w:rsid w:val="00B025B6"/>
    <w:rsid w:val="00B04420"/>
    <w:rsid w:val="00B06452"/>
    <w:rsid w:val="00B07F85"/>
    <w:rsid w:val="00B106DA"/>
    <w:rsid w:val="00B15736"/>
    <w:rsid w:val="00B21947"/>
    <w:rsid w:val="00B246E7"/>
    <w:rsid w:val="00B27FAD"/>
    <w:rsid w:val="00B3061B"/>
    <w:rsid w:val="00B32165"/>
    <w:rsid w:val="00B33849"/>
    <w:rsid w:val="00B40116"/>
    <w:rsid w:val="00B40D79"/>
    <w:rsid w:val="00B508B8"/>
    <w:rsid w:val="00B508D5"/>
    <w:rsid w:val="00B5151F"/>
    <w:rsid w:val="00B52043"/>
    <w:rsid w:val="00B55FDF"/>
    <w:rsid w:val="00B5600F"/>
    <w:rsid w:val="00B625CD"/>
    <w:rsid w:val="00B628C8"/>
    <w:rsid w:val="00B76BC6"/>
    <w:rsid w:val="00B8060C"/>
    <w:rsid w:val="00B87131"/>
    <w:rsid w:val="00B97EA3"/>
    <w:rsid w:val="00BA1F75"/>
    <w:rsid w:val="00BA5CB0"/>
    <w:rsid w:val="00BB3608"/>
    <w:rsid w:val="00BB37E4"/>
    <w:rsid w:val="00BB44A4"/>
    <w:rsid w:val="00BB6A87"/>
    <w:rsid w:val="00BC3D21"/>
    <w:rsid w:val="00BC4A51"/>
    <w:rsid w:val="00BD021A"/>
    <w:rsid w:val="00BD2D1B"/>
    <w:rsid w:val="00BD380F"/>
    <w:rsid w:val="00BD581E"/>
    <w:rsid w:val="00BD60B6"/>
    <w:rsid w:val="00BE1D3F"/>
    <w:rsid w:val="00BE25F5"/>
    <w:rsid w:val="00BF0FE8"/>
    <w:rsid w:val="00BF2B33"/>
    <w:rsid w:val="00C005CE"/>
    <w:rsid w:val="00C04578"/>
    <w:rsid w:val="00C11190"/>
    <w:rsid w:val="00C1159A"/>
    <w:rsid w:val="00C16DF2"/>
    <w:rsid w:val="00C22DCB"/>
    <w:rsid w:val="00C40671"/>
    <w:rsid w:val="00C40D68"/>
    <w:rsid w:val="00C45D78"/>
    <w:rsid w:val="00C46B5E"/>
    <w:rsid w:val="00C53AF5"/>
    <w:rsid w:val="00C61BB2"/>
    <w:rsid w:val="00C644EC"/>
    <w:rsid w:val="00C72994"/>
    <w:rsid w:val="00C772CA"/>
    <w:rsid w:val="00C83E05"/>
    <w:rsid w:val="00C86D61"/>
    <w:rsid w:val="00CA19B7"/>
    <w:rsid w:val="00CA423B"/>
    <w:rsid w:val="00CA5BBE"/>
    <w:rsid w:val="00CA77CB"/>
    <w:rsid w:val="00CB2060"/>
    <w:rsid w:val="00CB33BB"/>
    <w:rsid w:val="00CC4DEE"/>
    <w:rsid w:val="00CD1039"/>
    <w:rsid w:val="00CD20B2"/>
    <w:rsid w:val="00CD3A25"/>
    <w:rsid w:val="00CD761E"/>
    <w:rsid w:val="00CE6306"/>
    <w:rsid w:val="00CE70D4"/>
    <w:rsid w:val="00CF34D9"/>
    <w:rsid w:val="00CF3B6C"/>
    <w:rsid w:val="00D0758B"/>
    <w:rsid w:val="00D07E53"/>
    <w:rsid w:val="00D123B4"/>
    <w:rsid w:val="00D1327F"/>
    <w:rsid w:val="00D14A18"/>
    <w:rsid w:val="00D155C0"/>
    <w:rsid w:val="00D15713"/>
    <w:rsid w:val="00D16AAA"/>
    <w:rsid w:val="00D26553"/>
    <w:rsid w:val="00D30921"/>
    <w:rsid w:val="00D3586F"/>
    <w:rsid w:val="00D44BBA"/>
    <w:rsid w:val="00D45916"/>
    <w:rsid w:val="00D50142"/>
    <w:rsid w:val="00D57FF0"/>
    <w:rsid w:val="00D65E2B"/>
    <w:rsid w:val="00D717E5"/>
    <w:rsid w:val="00D73482"/>
    <w:rsid w:val="00D7798E"/>
    <w:rsid w:val="00D923BD"/>
    <w:rsid w:val="00D95343"/>
    <w:rsid w:val="00D9706E"/>
    <w:rsid w:val="00DA0042"/>
    <w:rsid w:val="00DB1332"/>
    <w:rsid w:val="00DC1704"/>
    <w:rsid w:val="00DC1725"/>
    <w:rsid w:val="00DC7AEC"/>
    <w:rsid w:val="00DC7F99"/>
    <w:rsid w:val="00DD4D27"/>
    <w:rsid w:val="00DE01BF"/>
    <w:rsid w:val="00DF0074"/>
    <w:rsid w:val="00DF217F"/>
    <w:rsid w:val="00DF3166"/>
    <w:rsid w:val="00DF7CEA"/>
    <w:rsid w:val="00E015C4"/>
    <w:rsid w:val="00E262EB"/>
    <w:rsid w:val="00E3252D"/>
    <w:rsid w:val="00E3428D"/>
    <w:rsid w:val="00E35EB6"/>
    <w:rsid w:val="00E40172"/>
    <w:rsid w:val="00E403F7"/>
    <w:rsid w:val="00E44745"/>
    <w:rsid w:val="00E51072"/>
    <w:rsid w:val="00E531CC"/>
    <w:rsid w:val="00E56D27"/>
    <w:rsid w:val="00E6278D"/>
    <w:rsid w:val="00E673C4"/>
    <w:rsid w:val="00E7227A"/>
    <w:rsid w:val="00E72344"/>
    <w:rsid w:val="00E761BA"/>
    <w:rsid w:val="00E776D2"/>
    <w:rsid w:val="00E83113"/>
    <w:rsid w:val="00E8448C"/>
    <w:rsid w:val="00E902B1"/>
    <w:rsid w:val="00E96F9A"/>
    <w:rsid w:val="00EA31C2"/>
    <w:rsid w:val="00EA3DE8"/>
    <w:rsid w:val="00EA4AEF"/>
    <w:rsid w:val="00EB08D9"/>
    <w:rsid w:val="00EB4734"/>
    <w:rsid w:val="00EB75EA"/>
    <w:rsid w:val="00EC6F19"/>
    <w:rsid w:val="00EE5D25"/>
    <w:rsid w:val="00EF1770"/>
    <w:rsid w:val="00EF5A44"/>
    <w:rsid w:val="00EF6205"/>
    <w:rsid w:val="00F026E9"/>
    <w:rsid w:val="00F101D6"/>
    <w:rsid w:val="00F163C7"/>
    <w:rsid w:val="00F165C8"/>
    <w:rsid w:val="00F17F45"/>
    <w:rsid w:val="00F221DA"/>
    <w:rsid w:val="00F3080E"/>
    <w:rsid w:val="00F3123A"/>
    <w:rsid w:val="00F32A77"/>
    <w:rsid w:val="00F33A5D"/>
    <w:rsid w:val="00F41D57"/>
    <w:rsid w:val="00F44BA3"/>
    <w:rsid w:val="00F455C6"/>
    <w:rsid w:val="00F46148"/>
    <w:rsid w:val="00F50943"/>
    <w:rsid w:val="00F52524"/>
    <w:rsid w:val="00F5683B"/>
    <w:rsid w:val="00F63A2F"/>
    <w:rsid w:val="00F649B6"/>
    <w:rsid w:val="00F66976"/>
    <w:rsid w:val="00F66A2D"/>
    <w:rsid w:val="00F66C7A"/>
    <w:rsid w:val="00F750C8"/>
    <w:rsid w:val="00F765D8"/>
    <w:rsid w:val="00F90092"/>
    <w:rsid w:val="00F93DA0"/>
    <w:rsid w:val="00F957B6"/>
    <w:rsid w:val="00F95C7C"/>
    <w:rsid w:val="00FA4C06"/>
    <w:rsid w:val="00FA7BC2"/>
    <w:rsid w:val="00FB2ECD"/>
    <w:rsid w:val="00FC02F4"/>
    <w:rsid w:val="00FC194F"/>
    <w:rsid w:val="00FC4EEB"/>
    <w:rsid w:val="00FC5E7A"/>
    <w:rsid w:val="00FD1C6D"/>
    <w:rsid w:val="00FD60D0"/>
    <w:rsid w:val="00FE05BA"/>
    <w:rsid w:val="00FE229F"/>
    <w:rsid w:val="00FF1B9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6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99"/>
    <w:qFormat/>
    <w:rsid w:val="001E6313"/>
    <w:pPr>
      <w:ind w:left="720"/>
      <w:contextualSpacing/>
    </w:pPr>
  </w:style>
  <w:style w:type="paragraph" w:customStyle="1" w:styleId="DSEBody">
    <w:name w:val="DSE_Body"/>
    <w:link w:val="DSEBodyChar"/>
    <w:rsid w:val="0083367F"/>
    <w:pPr>
      <w:spacing w:after="113" w:line="240" w:lineRule="atLeast"/>
    </w:pPr>
    <w:rPr>
      <w:rFonts w:ascii="Arial" w:hAnsi="Arial" w:cs="Arial"/>
      <w:sz w:val="18"/>
      <w:szCs w:val="24"/>
      <w:lang w:eastAsia="en-US"/>
    </w:rPr>
  </w:style>
  <w:style w:type="character" w:customStyle="1" w:styleId="DSEBodyChar">
    <w:name w:val="DSE_Body Char"/>
    <w:link w:val="DSEBody"/>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99"/>
    <w:qFormat/>
    <w:rsid w:val="001E6313"/>
    <w:pPr>
      <w:ind w:left="720"/>
      <w:contextualSpacing/>
    </w:pPr>
  </w:style>
  <w:style w:type="paragraph" w:customStyle="1" w:styleId="DSEBody">
    <w:name w:val="DSE_Body"/>
    <w:link w:val="DSEBodyChar"/>
    <w:rsid w:val="0083367F"/>
    <w:pPr>
      <w:spacing w:after="113" w:line="240" w:lineRule="atLeast"/>
    </w:pPr>
    <w:rPr>
      <w:rFonts w:ascii="Arial" w:hAnsi="Arial" w:cs="Arial"/>
      <w:sz w:val="18"/>
      <w:szCs w:val="24"/>
      <w:lang w:eastAsia="en-US"/>
    </w:rPr>
  </w:style>
  <w:style w:type="character" w:customStyle="1" w:styleId="DSEBodyChar">
    <w:name w:val="DSE_Body Char"/>
    <w:link w:val="DSEBody"/>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www.delwp.vic.gov.au" TargetMode="External"/><Relationship Id="rId26" Type="http://schemas.openxmlformats.org/officeDocument/2006/relationships/image" Target="media/image6.jp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yperlink" Target="http://www.R-project.org/"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relayservice.com.au" TargetMode="External"/><Relationship Id="rId25" Type="http://schemas.microsoft.com/office/2007/relationships/hdphoto" Target="media/hdphoto2.wdp"/><Relationship Id="rId33" Type="http://schemas.openxmlformats.org/officeDocument/2006/relationships/hyperlink" Target="http://en.wikipedia.org/wiki/Machine_Learning_(journal)" TargetMode="External"/><Relationship Id="rId38"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yperlink" Target="mailto:customer.service@delwp.vic.gov.au" TargetMode="External"/><Relationship Id="rId20" Type="http://schemas.openxmlformats.org/officeDocument/2006/relationships/footer" Target="footer3.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jpeg"/><Relationship Id="rId32" Type="http://schemas.openxmlformats.org/officeDocument/2006/relationships/footer" Target="footer6.xml"/><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creativecommons.org/licenses/by/3.0/au/deed.en" TargetMode="External"/><Relationship Id="rId23" Type="http://schemas.openxmlformats.org/officeDocument/2006/relationships/footer" Target="footer5.xml"/><Relationship Id="rId28" Type="http://schemas.openxmlformats.org/officeDocument/2006/relationships/image" Target="media/image8.png"/><Relationship Id="rId36" Type="http://schemas.openxmlformats.org/officeDocument/2006/relationships/image" Target="media/image12.png"/><Relationship Id="rId10" Type="http://schemas.microsoft.com/office/2007/relationships/hdphoto" Target="media/hdphoto1.wdp"/><Relationship Id="rId19" Type="http://schemas.openxmlformats.org/officeDocument/2006/relationships/header" Target="header2.xml"/><Relationship Id="rId31"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eader" Target="header3.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1.pn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B533D1-6F73-4C77-98FF-93F2356DE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31</Pages>
  <Words>8663</Words>
  <Characters>70341</Characters>
  <Application>Microsoft Office Word</Application>
  <DocSecurity>0</DocSecurity>
  <Lines>586</Lines>
  <Paragraphs>157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78847</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2016-02-12T00:39:00Z</dcterms:created>
  <dcterms:modified xsi:type="dcterms:W3CDTF">2016-02-15T01:07:00Z</dcterms:modified>
</cp:coreProperties>
</file>