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82C7F" w:rsidRPr="00A82C7F" w:rsidTr="00AF079F">
        <w:trPr>
          <w:trHeight w:hRule="exact" w:val="1418"/>
        </w:trPr>
        <w:tc>
          <w:tcPr>
            <w:tcW w:w="7761" w:type="dxa"/>
            <w:vAlign w:val="center"/>
          </w:tcPr>
          <w:p w:rsidR="00A82C7F" w:rsidRPr="00A82C7F" w:rsidRDefault="00A82C7F" w:rsidP="00A82C7F">
            <w:pPr>
              <w:spacing w:after="0" w:line="440" w:lineRule="exact"/>
              <w:jc w:val="right"/>
              <w:rPr>
                <w:rFonts w:ascii="Arial" w:eastAsia="MingLiU" w:hAnsi="Arial" w:cs="Times New Roman"/>
                <w:b/>
                <w:color w:val="FFFFFF"/>
                <w:spacing w:val="-2"/>
                <w:sz w:val="40"/>
                <w:szCs w:val="52"/>
                <w:lang w:eastAsia="en-AU"/>
              </w:rPr>
            </w:pPr>
            <w:r>
              <w:rPr>
                <w:rFonts w:ascii="Arial" w:eastAsia="MingLiU" w:hAnsi="Arial" w:cs="Times New Roman"/>
                <w:b/>
                <w:color w:val="FFFFFF"/>
                <w:spacing w:val="-2"/>
                <w:sz w:val="40"/>
                <w:szCs w:val="52"/>
                <w:lang w:eastAsia="en-AU"/>
              </w:rPr>
              <w:t>Notice of Approved</w:t>
            </w:r>
            <w:r w:rsidRPr="00A82C7F">
              <w:rPr>
                <w:rFonts w:ascii="Arial" w:eastAsia="MingLiU" w:hAnsi="Arial" w:cs="Times New Roman"/>
                <w:b/>
                <w:color w:val="FFFFFF"/>
                <w:spacing w:val="-2"/>
                <w:sz w:val="40"/>
                <w:szCs w:val="52"/>
                <w:lang w:eastAsia="en-AU"/>
              </w:rPr>
              <w:t xml:space="preserve"> Boundary Change</w:t>
            </w:r>
          </w:p>
        </w:tc>
      </w:tr>
      <w:tr w:rsidR="00A82C7F" w:rsidRPr="00A82C7F" w:rsidTr="00AF079F">
        <w:trPr>
          <w:trHeight w:val="1247"/>
        </w:trPr>
        <w:tc>
          <w:tcPr>
            <w:tcW w:w="7761" w:type="dxa"/>
            <w:vAlign w:val="center"/>
          </w:tcPr>
          <w:p w:rsidR="00A82C7F" w:rsidRPr="00A82C7F" w:rsidRDefault="00A82C7F" w:rsidP="00A82C7F">
            <w:pPr>
              <w:numPr>
                <w:ilvl w:val="1"/>
                <w:numId w:val="0"/>
              </w:numPr>
              <w:spacing w:after="0" w:line="320" w:lineRule="exact"/>
              <w:jc w:val="right"/>
              <w:rPr>
                <w:rFonts w:ascii="Arial" w:eastAsia="MingLiU" w:hAnsi="Arial" w:cs="Times New Roman"/>
                <w:iCs/>
                <w:color w:val="00B2A9"/>
                <w:spacing w:val="-2"/>
                <w:sz w:val="28"/>
                <w:szCs w:val="24"/>
                <w:lang w:eastAsia="en-AU"/>
              </w:rPr>
            </w:pPr>
            <w:r w:rsidRPr="00A82C7F">
              <w:rPr>
                <w:rFonts w:ascii="Arial" w:eastAsia="MingLiU" w:hAnsi="Arial" w:cs="Times New Roman"/>
                <w:iCs/>
                <w:color w:val="00B2A9"/>
                <w:spacing w:val="-2"/>
                <w:sz w:val="28"/>
                <w:szCs w:val="24"/>
                <w:lang w:eastAsia="en-AU"/>
              </w:rPr>
              <w:t xml:space="preserve">Biodiversity Conservation Strategy </w:t>
            </w:r>
          </w:p>
          <w:p w:rsidR="00A82C7F" w:rsidRPr="00A82C7F" w:rsidRDefault="00A82C7F" w:rsidP="00A82C7F">
            <w:pPr>
              <w:numPr>
                <w:ilvl w:val="1"/>
                <w:numId w:val="0"/>
              </w:numPr>
              <w:spacing w:after="0" w:line="320" w:lineRule="exact"/>
              <w:jc w:val="right"/>
              <w:rPr>
                <w:rFonts w:ascii="Arial" w:eastAsia="MingLiU" w:hAnsi="Arial" w:cs="Times New Roman"/>
                <w:iCs/>
                <w:color w:val="00B2A9"/>
                <w:spacing w:val="-2"/>
                <w:sz w:val="28"/>
                <w:szCs w:val="24"/>
                <w:lang w:eastAsia="en-AU"/>
              </w:rPr>
            </w:pPr>
            <w:r w:rsidRPr="00A82C7F">
              <w:rPr>
                <w:rFonts w:ascii="Arial" w:eastAsia="MingLiU" w:hAnsi="Arial" w:cs="Times New Roman"/>
                <w:iCs/>
                <w:color w:val="00B2A9"/>
                <w:spacing w:val="-2"/>
                <w:sz w:val="28"/>
                <w:szCs w:val="24"/>
                <w:lang w:eastAsia="en-AU"/>
              </w:rPr>
              <w:t>Conservation Area 13 Ballan Road, Wyndham Vale</w:t>
            </w:r>
          </w:p>
        </w:tc>
      </w:tr>
    </w:tbl>
    <w:tbl>
      <w:tblPr>
        <w:tblStyle w:val="DELWPTableNormal"/>
        <w:tblW w:w="0" w:type="auto"/>
        <w:tblLook w:val="04A0" w:firstRow="1" w:lastRow="0" w:firstColumn="1" w:lastColumn="0" w:noHBand="0" w:noVBand="1"/>
      </w:tblPr>
      <w:tblGrid>
        <w:gridCol w:w="10309"/>
      </w:tblGrid>
      <w:tr w:rsidR="00A82C7F" w:rsidRPr="00A82C7F" w:rsidTr="00AF079F">
        <w:tc>
          <w:tcPr>
            <w:tcW w:w="10535" w:type="dxa"/>
            <w:tcBorders>
              <w:top w:val="single" w:sz="4" w:space="0" w:color="auto"/>
              <w:left w:val="single" w:sz="4" w:space="0" w:color="auto"/>
              <w:bottom w:val="single" w:sz="4" w:space="0" w:color="auto"/>
              <w:right w:val="single" w:sz="4" w:space="0" w:color="auto"/>
            </w:tcBorders>
          </w:tcPr>
          <w:p w:rsidR="00A82C7F" w:rsidRPr="00A82C7F" w:rsidRDefault="00A82C7F" w:rsidP="00A82C7F">
            <w:pPr>
              <w:keepNext/>
              <w:keepLines/>
              <w:numPr>
                <w:ilvl w:val="1"/>
                <w:numId w:val="0"/>
              </w:numPr>
              <w:tabs>
                <w:tab w:val="left" w:pos="1418"/>
                <w:tab w:val="left" w:pos="1701"/>
                <w:tab w:val="left" w:pos="1985"/>
              </w:tabs>
              <w:spacing w:before="240" w:after="100" w:line="260" w:lineRule="exact"/>
              <w:outlineLvl w:val="1"/>
              <w:rPr>
                <w:rFonts w:ascii="Arial" w:hAnsi="Arial"/>
                <w:b/>
                <w:bCs/>
                <w:iCs/>
                <w:color w:val="00B2A9"/>
                <w:kern w:val="20"/>
                <w:szCs w:val="28"/>
              </w:rPr>
            </w:pPr>
            <w:r w:rsidRPr="00A82C7F">
              <w:rPr>
                <w:rFonts w:ascii="Arial" w:hAnsi="Arial"/>
                <w:b/>
                <w:bCs/>
                <w:iCs/>
                <w:color w:val="00B2A9"/>
                <w:kern w:val="20"/>
                <w:szCs w:val="28"/>
              </w:rPr>
              <w:t>Key points:</w:t>
            </w:r>
          </w:p>
          <w:p w:rsidR="00A82C7F" w:rsidRPr="00A82C7F" w:rsidRDefault="00A82C7F" w:rsidP="00A82C7F">
            <w:pPr>
              <w:numPr>
                <w:ilvl w:val="0"/>
                <w:numId w:val="1"/>
              </w:numPr>
              <w:spacing w:after="200" w:line="276" w:lineRule="auto"/>
              <w:contextualSpacing/>
              <w:rPr>
                <w:rFonts w:ascii="Arial" w:eastAsia="Calibri" w:hAnsi="Arial"/>
                <w:lang w:val="en-US"/>
              </w:rPr>
            </w:pPr>
            <w:r w:rsidRPr="00A82C7F">
              <w:rPr>
                <w:rFonts w:ascii="Arial" w:eastAsia="Calibri" w:hAnsi="Arial"/>
                <w:lang w:val="en-US"/>
              </w:rPr>
              <w:t xml:space="preserve">Conservation Area 13 (CA 13) is classified as an undetermined conservation area under the Biodiversity Conservation Strategy (BCS). The BCS states that the boundaries of undetermined conservations areas will be confirmed following on ground surveys. </w:t>
            </w:r>
          </w:p>
          <w:p w:rsidR="00A82C7F" w:rsidRPr="00A82C7F" w:rsidRDefault="00A82C7F" w:rsidP="00A82C7F">
            <w:pPr>
              <w:spacing w:after="200" w:line="276" w:lineRule="auto"/>
              <w:ind w:left="360"/>
              <w:contextualSpacing/>
              <w:rPr>
                <w:rFonts w:ascii="Arial" w:eastAsia="Calibri" w:hAnsi="Arial"/>
                <w:lang w:val="en-US"/>
              </w:rPr>
            </w:pPr>
          </w:p>
          <w:p w:rsidR="00A82C7F" w:rsidRDefault="00A82C7F" w:rsidP="00A82C7F">
            <w:pPr>
              <w:numPr>
                <w:ilvl w:val="0"/>
                <w:numId w:val="1"/>
              </w:numPr>
              <w:spacing w:after="200" w:line="276" w:lineRule="auto"/>
              <w:contextualSpacing/>
              <w:rPr>
                <w:rFonts w:ascii="Arial" w:eastAsia="Calibri" w:hAnsi="Arial"/>
                <w:lang w:val="en-US"/>
              </w:rPr>
            </w:pPr>
            <w:r w:rsidRPr="00A82C7F">
              <w:rPr>
                <w:rFonts w:ascii="Arial" w:eastAsia="Calibri" w:hAnsi="Arial"/>
                <w:lang w:val="en-US"/>
              </w:rPr>
              <w:t xml:space="preserve">Surveys </w:t>
            </w:r>
            <w:r>
              <w:rPr>
                <w:rFonts w:ascii="Arial" w:eastAsia="Calibri" w:hAnsi="Arial"/>
                <w:lang w:val="en-US"/>
              </w:rPr>
              <w:t>were</w:t>
            </w:r>
            <w:r w:rsidRPr="00A82C7F">
              <w:rPr>
                <w:rFonts w:ascii="Arial" w:eastAsia="Calibri" w:hAnsi="Arial"/>
                <w:lang w:val="en-US"/>
              </w:rPr>
              <w:t xml:space="preserve"> conducted for CA 13. Based on the survey data and the criteria stated in the ‘Guidance Note for the Biodiversity Conservation Strategy’, the Department of Environment, Land, Water and Planning (DELWP) propose</w:t>
            </w:r>
            <w:r>
              <w:rPr>
                <w:rFonts w:ascii="Arial" w:eastAsia="Calibri" w:hAnsi="Arial"/>
                <w:lang w:val="en-US"/>
              </w:rPr>
              <w:t>d</w:t>
            </w:r>
            <w:r w:rsidRPr="00A82C7F">
              <w:rPr>
                <w:rFonts w:ascii="Arial" w:eastAsia="Calibri" w:hAnsi="Arial"/>
                <w:lang w:val="en-US"/>
              </w:rPr>
              <w:t xml:space="preserve"> boundary changes to CA 13.  </w:t>
            </w:r>
          </w:p>
          <w:p w:rsidR="00A82C7F" w:rsidRPr="00A82C7F" w:rsidRDefault="00A82C7F" w:rsidP="00A82C7F">
            <w:pPr>
              <w:spacing w:after="200" w:line="276" w:lineRule="auto"/>
              <w:contextualSpacing/>
              <w:rPr>
                <w:rFonts w:ascii="Arial" w:eastAsia="Calibri" w:hAnsi="Arial"/>
                <w:lang w:val="en-US"/>
              </w:rPr>
            </w:pPr>
          </w:p>
          <w:p w:rsidR="00A82C7F" w:rsidRPr="00A82C7F" w:rsidRDefault="00A82C7F" w:rsidP="00A82C7F">
            <w:pPr>
              <w:numPr>
                <w:ilvl w:val="0"/>
                <w:numId w:val="1"/>
              </w:numPr>
              <w:spacing w:after="200" w:line="276" w:lineRule="auto"/>
              <w:contextualSpacing/>
              <w:rPr>
                <w:rFonts w:ascii="Arial" w:eastAsia="Calibri" w:hAnsi="Arial"/>
                <w:lang w:val="en-US"/>
              </w:rPr>
            </w:pPr>
            <w:r>
              <w:rPr>
                <w:rFonts w:ascii="Arial" w:eastAsia="Calibri" w:hAnsi="Arial"/>
                <w:lang w:val="en-US"/>
              </w:rPr>
              <w:t>The boundary change has been approved by the Minister for the Department of Environment and Energy</w:t>
            </w:r>
            <w:r w:rsidR="005F2C22" w:rsidRPr="00A82C7F">
              <w:rPr>
                <w:rFonts w:ascii="Arial" w:hAnsi="Arial" w:cs="Times New Roman"/>
              </w:rPr>
              <w:t>, as per condition 4 of the September 2013 MSA approval.</w:t>
            </w:r>
          </w:p>
          <w:p w:rsidR="00A82C7F" w:rsidRPr="00A82C7F" w:rsidRDefault="00A82C7F" w:rsidP="00A82C7F">
            <w:pPr>
              <w:contextualSpacing/>
              <w:rPr>
                <w:rFonts w:ascii="Arial" w:eastAsia="Calibri" w:hAnsi="Arial"/>
                <w:lang w:val="en-US"/>
              </w:rPr>
            </w:pPr>
          </w:p>
          <w:p w:rsidR="00A82C7F" w:rsidRPr="00A82C7F" w:rsidRDefault="00A82C7F" w:rsidP="00A82C7F">
            <w:pPr>
              <w:numPr>
                <w:ilvl w:val="0"/>
                <w:numId w:val="1"/>
              </w:numPr>
              <w:spacing w:after="200" w:line="276" w:lineRule="auto"/>
              <w:contextualSpacing/>
              <w:rPr>
                <w:rFonts w:ascii="Arial" w:eastAsia="Calibri" w:hAnsi="Arial"/>
                <w:lang w:val="en-US"/>
              </w:rPr>
            </w:pPr>
            <w:r w:rsidRPr="00A82C7F">
              <w:rPr>
                <w:rFonts w:ascii="Arial" w:eastAsia="Calibri" w:hAnsi="Arial"/>
                <w:lang w:val="en-US"/>
              </w:rPr>
              <w:t>T</w:t>
            </w:r>
            <w:r w:rsidR="005F2C22">
              <w:rPr>
                <w:rFonts w:ascii="Arial" w:eastAsia="Calibri" w:hAnsi="Arial"/>
                <w:lang w:val="en-US"/>
              </w:rPr>
              <w:t xml:space="preserve">he approved </w:t>
            </w:r>
            <w:r>
              <w:rPr>
                <w:rFonts w:ascii="Arial" w:eastAsia="Calibri" w:hAnsi="Arial"/>
                <w:lang w:val="en-US"/>
              </w:rPr>
              <w:t>boundary change</w:t>
            </w:r>
            <w:r w:rsidRPr="00A82C7F">
              <w:rPr>
                <w:rFonts w:ascii="Arial" w:eastAsia="Calibri" w:hAnsi="Arial"/>
                <w:lang w:val="en-US"/>
              </w:rPr>
              <w:t>:</w:t>
            </w:r>
          </w:p>
          <w:p w:rsidR="00A82C7F" w:rsidRPr="00A82C7F" w:rsidRDefault="00A82C7F" w:rsidP="00A82C7F">
            <w:pPr>
              <w:numPr>
                <w:ilvl w:val="1"/>
                <w:numId w:val="4"/>
              </w:numPr>
              <w:spacing w:after="200" w:line="276" w:lineRule="auto"/>
              <w:contextualSpacing/>
              <w:rPr>
                <w:rFonts w:ascii="Arial" w:eastAsia="Calibri" w:hAnsi="Arial"/>
                <w:lang w:val="en-US"/>
              </w:rPr>
            </w:pPr>
            <w:r w:rsidRPr="00A82C7F">
              <w:rPr>
                <w:rFonts w:ascii="Arial" w:eastAsia="Calibri" w:hAnsi="Arial"/>
                <w:lang w:val="en-US"/>
              </w:rPr>
              <w:t>Exclude</w:t>
            </w:r>
            <w:r>
              <w:rPr>
                <w:rFonts w:ascii="Arial" w:eastAsia="Calibri" w:hAnsi="Arial"/>
                <w:lang w:val="en-US"/>
              </w:rPr>
              <w:t>s</w:t>
            </w:r>
            <w:r w:rsidRPr="00A82C7F">
              <w:rPr>
                <w:rFonts w:ascii="Arial" w:eastAsia="Calibri" w:hAnsi="Arial"/>
                <w:lang w:val="en-US"/>
              </w:rPr>
              <w:t xml:space="preserve"> 7.773 hectares of land in the western boundary that does not support native vegetation</w:t>
            </w:r>
          </w:p>
          <w:p w:rsidR="00A82C7F" w:rsidRPr="00A82C7F" w:rsidRDefault="00A82C7F" w:rsidP="00A82C7F">
            <w:pPr>
              <w:numPr>
                <w:ilvl w:val="1"/>
                <w:numId w:val="4"/>
              </w:numPr>
              <w:spacing w:after="200" w:line="276" w:lineRule="auto"/>
              <w:contextualSpacing/>
              <w:rPr>
                <w:rFonts w:ascii="Arial" w:eastAsia="Calibri" w:hAnsi="Arial"/>
                <w:lang w:val="en-US"/>
              </w:rPr>
            </w:pPr>
            <w:r w:rsidRPr="00A82C7F">
              <w:rPr>
                <w:rFonts w:ascii="Arial" w:eastAsia="Calibri" w:hAnsi="Arial"/>
                <w:lang w:val="en-US"/>
              </w:rPr>
              <w:t>Exclude</w:t>
            </w:r>
            <w:r>
              <w:rPr>
                <w:rFonts w:ascii="Arial" w:eastAsia="Calibri" w:hAnsi="Arial"/>
                <w:lang w:val="en-US"/>
              </w:rPr>
              <w:t>s</w:t>
            </w:r>
            <w:r w:rsidRPr="00A82C7F">
              <w:rPr>
                <w:rFonts w:ascii="Arial" w:eastAsia="Calibri" w:hAnsi="Arial"/>
                <w:lang w:val="en-US"/>
              </w:rPr>
              <w:t xml:space="preserve"> 0.881 hectares of Plains Grassland MNES. According to the prescription for this </w:t>
            </w:r>
            <w:r w:rsidR="005F2C22" w:rsidRPr="00A82C7F">
              <w:rPr>
                <w:rFonts w:ascii="Arial" w:eastAsia="Calibri" w:hAnsi="Arial"/>
                <w:lang w:val="en-US"/>
              </w:rPr>
              <w:t>community it</w:t>
            </w:r>
            <w:r w:rsidRPr="00A82C7F">
              <w:rPr>
                <w:rFonts w:ascii="Arial" w:eastAsia="Calibri" w:hAnsi="Arial"/>
                <w:lang w:val="en-US"/>
              </w:rPr>
              <w:t xml:space="preserve"> does not require protection within CA 13 (habitat score of 0.47). </w:t>
            </w:r>
          </w:p>
          <w:p w:rsidR="00A82C7F" w:rsidRPr="00A82C7F" w:rsidRDefault="00A82C7F" w:rsidP="00A82C7F">
            <w:pPr>
              <w:numPr>
                <w:ilvl w:val="1"/>
                <w:numId w:val="4"/>
              </w:numPr>
              <w:spacing w:after="200" w:line="276" w:lineRule="auto"/>
              <w:contextualSpacing/>
              <w:rPr>
                <w:rFonts w:ascii="Arial" w:eastAsia="Calibri" w:hAnsi="Arial"/>
                <w:lang w:val="en-US"/>
              </w:rPr>
            </w:pPr>
            <w:r w:rsidRPr="00A82C7F">
              <w:rPr>
                <w:rFonts w:ascii="Arial" w:eastAsia="Calibri" w:hAnsi="Arial"/>
                <w:lang w:val="en-US"/>
              </w:rPr>
              <w:t>provide</w:t>
            </w:r>
            <w:r>
              <w:rPr>
                <w:rFonts w:ascii="Arial" w:eastAsia="Calibri" w:hAnsi="Arial"/>
                <w:lang w:val="en-US"/>
              </w:rPr>
              <w:t>s</w:t>
            </w:r>
            <w:r w:rsidRPr="00A82C7F">
              <w:rPr>
                <w:rFonts w:ascii="Arial" w:eastAsia="Calibri" w:hAnsi="Arial"/>
                <w:lang w:val="en-US"/>
              </w:rPr>
              <w:t xml:space="preserve"> an effective management area to maintain biodiversity values  </w:t>
            </w:r>
          </w:p>
          <w:p w:rsidR="00A82C7F" w:rsidRPr="00A82C7F" w:rsidRDefault="00A82C7F" w:rsidP="00A82C7F">
            <w:pPr>
              <w:numPr>
                <w:ilvl w:val="1"/>
                <w:numId w:val="4"/>
              </w:numPr>
              <w:spacing w:after="200" w:line="276" w:lineRule="auto"/>
              <w:contextualSpacing/>
              <w:rPr>
                <w:rFonts w:ascii="Arial" w:eastAsia="Calibri" w:hAnsi="Arial"/>
                <w:lang w:val="en-US"/>
              </w:rPr>
            </w:pPr>
            <w:r w:rsidRPr="00A82C7F">
              <w:rPr>
                <w:rFonts w:ascii="Arial" w:eastAsia="Calibri" w:hAnsi="Arial"/>
                <w:lang w:val="en-US"/>
              </w:rPr>
              <w:t>Excludes an area designated for a through road in the Quandong Precinct Structure Plan</w:t>
            </w:r>
            <w:r>
              <w:rPr>
                <w:rFonts w:ascii="Arial" w:eastAsia="Calibri" w:hAnsi="Arial"/>
                <w:lang w:val="en-US"/>
              </w:rPr>
              <w:t>.</w:t>
            </w:r>
          </w:p>
          <w:p w:rsidR="00A82C7F" w:rsidRPr="00A82C7F" w:rsidRDefault="00A82C7F" w:rsidP="00A82C7F">
            <w:pPr>
              <w:spacing w:after="200" w:line="276" w:lineRule="auto"/>
              <w:contextualSpacing/>
              <w:rPr>
                <w:rFonts w:ascii="Arial" w:hAnsi="Arial" w:cs="Calibri"/>
              </w:rPr>
            </w:pPr>
          </w:p>
          <w:p w:rsidR="00A82C7F" w:rsidRPr="00A82C7F" w:rsidRDefault="00A82C7F" w:rsidP="00A82C7F">
            <w:pPr>
              <w:numPr>
                <w:ilvl w:val="0"/>
                <w:numId w:val="2"/>
              </w:numPr>
              <w:spacing w:after="200" w:line="276" w:lineRule="auto"/>
              <w:contextualSpacing/>
              <w:rPr>
                <w:rFonts w:ascii="Arial" w:hAnsi="Arial"/>
              </w:rPr>
            </w:pPr>
            <w:r w:rsidRPr="00A82C7F">
              <w:rPr>
                <w:rFonts w:ascii="Arial" w:hAnsi="Arial" w:cs="Calibri"/>
              </w:rPr>
              <w:t>Habitat compensation fees apply to land that is excluded from CA 13.</w:t>
            </w:r>
          </w:p>
        </w:tc>
      </w:tr>
    </w:tbl>
    <w:p w:rsidR="00A82C7F" w:rsidRPr="00A82C7F" w:rsidRDefault="00A82C7F" w:rsidP="00A82C7F">
      <w:pPr>
        <w:spacing w:after="0" w:line="240" w:lineRule="atLeast"/>
        <w:rPr>
          <w:rFonts w:ascii="Arial" w:eastAsia="Times New Roman" w:hAnsi="Arial" w:cs="Arial"/>
          <w:color w:val="363534"/>
          <w:sz w:val="20"/>
          <w:szCs w:val="20"/>
          <w:lang w:eastAsia="en-AU"/>
        </w:rPr>
      </w:pPr>
    </w:p>
    <w:p w:rsidR="00A82C7F" w:rsidRPr="00A82C7F" w:rsidRDefault="00A82C7F" w:rsidP="00A82C7F">
      <w:pPr>
        <w:spacing w:before="60" w:after="120" w:line="240" w:lineRule="atLeast"/>
        <w:rPr>
          <w:rFonts w:ascii="Arial" w:eastAsia="Times New Roman" w:hAnsi="Arial" w:cs="Times New Roman"/>
          <w:color w:val="363534"/>
          <w:sz w:val="20"/>
          <w:szCs w:val="20"/>
        </w:rPr>
        <w:sectPr w:rsidR="00A82C7F" w:rsidRPr="00A82C7F" w:rsidSect="00E97294">
          <w:headerReference w:type="even" r:id="rId7"/>
          <w:headerReference w:type="default" r:id="rId8"/>
          <w:footerReference w:type="even" r:id="rId9"/>
          <w:footerReference w:type="default" r:id="rId10"/>
          <w:headerReference w:type="first" r:id="rId11"/>
          <w:footerReference w:type="first" r:id="rId12"/>
          <w:pgSz w:w="11907" w:h="16840" w:code="9"/>
          <w:pgMar w:top="2211" w:right="737" w:bottom="794" w:left="851" w:header="284" w:footer="284" w:gutter="0"/>
          <w:cols w:space="284"/>
          <w:titlePg/>
          <w:docGrid w:linePitch="360"/>
        </w:sectPr>
      </w:pPr>
    </w:p>
    <w:p w:rsidR="00A82C7F" w:rsidRPr="00A82C7F" w:rsidRDefault="00A82C7F" w:rsidP="00A82C7F">
      <w:pPr>
        <w:keepNext/>
        <w:keepLines/>
        <w:tabs>
          <w:tab w:val="left" w:pos="1418"/>
          <w:tab w:val="left" w:pos="1701"/>
          <w:tab w:val="left" w:pos="1985"/>
        </w:tabs>
        <w:spacing w:before="240" w:after="100" w:line="260" w:lineRule="exact"/>
        <w:outlineLvl w:val="1"/>
        <w:rPr>
          <w:rFonts w:ascii="Arial" w:eastAsia="Times New Roman" w:hAnsi="Arial" w:cs="Arial"/>
          <w:b/>
          <w:bCs/>
          <w:iCs/>
          <w:kern w:val="20"/>
          <w:szCs w:val="28"/>
          <w:lang w:eastAsia="en-AU"/>
        </w:rPr>
      </w:pPr>
      <w:r w:rsidRPr="00A82C7F">
        <w:rPr>
          <w:rFonts w:ascii="Arial" w:eastAsia="Times New Roman" w:hAnsi="Arial" w:cs="Arial"/>
          <w:b/>
          <w:bCs/>
          <w:iCs/>
          <w:color w:val="00B2A9"/>
          <w:kern w:val="20"/>
          <w:szCs w:val="28"/>
          <w:lang w:eastAsia="en-AU"/>
        </w:rPr>
        <w:t xml:space="preserve">Summary </w:t>
      </w:r>
    </w:p>
    <w:p w:rsidR="00A82C7F" w:rsidRPr="00A82C7F" w:rsidRDefault="00A82C7F" w:rsidP="00A82C7F">
      <w:pPr>
        <w:spacing w:after="113" w:line="240" w:lineRule="atLeast"/>
        <w:rPr>
          <w:rFonts w:ascii="Arial" w:eastAsia="Calibri" w:hAnsi="Arial" w:cs="Arial"/>
          <w:sz w:val="20"/>
          <w:szCs w:val="20"/>
          <w:lang w:val="en-US" w:eastAsia="en-AU"/>
        </w:rPr>
      </w:pPr>
      <w:r w:rsidRPr="00A82C7F">
        <w:rPr>
          <w:rFonts w:ascii="Arial" w:eastAsia="Calibri" w:hAnsi="Arial" w:cs="Arial"/>
          <w:sz w:val="20"/>
          <w:szCs w:val="20"/>
          <w:lang w:val="en-US" w:eastAsia="en-AU"/>
        </w:rPr>
        <w:t xml:space="preserve">CA 13 is classified as a type of conservation area to be determined following surveys, under the BCS. The BCS states the type of conservation area will be determined following on-ground surveys. </w:t>
      </w:r>
    </w:p>
    <w:p w:rsidR="00A82C7F" w:rsidRPr="00A82C7F" w:rsidRDefault="00A82C7F" w:rsidP="00A82C7F">
      <w:pPr>
        <w:spacing w:after="113" w:line="240" w:lineRule="atLeast"/>
        <w:rPr>
          <w:rFonts w:ascii="Arial" w:eastAsia="Calibri" w:hAnsi="Arial" w:cs="Arial"/>
          <w:sz w:val="20"/>
          <w:szCs w:val="20"/>
          <w:lang w:val="en-US" w:eastAsia="en-AU"/>
        </w:rPr>
      </w:pPr>
      <w:r w:rsidRPr="00A82C7F">
        <w:rPr>
          <w:rFonts w:ascii="Arial" w:eastAsia="Calibri" w:hAnsi="Arial" w:cs="Arial"/>
          <w:sz w:val="20"/>
          <w:szCs w:val="20"/>
          <w:lang w:val="en-US" w:eastAsia="en-AU"/>
        </w:rPr>
        <w:t>Surveys of CA 13 have been undertaken by a qualified consultant, and the survey data has been analysed by DELWP against the boundary change cr</w:t>
      </w:r>
      <w:r>
        <w:rPr>
          <w:rFonts w:ascii="Arial" w:eastAsia="Calibri" w:hAnsi="Arial" w:cs="Arial"/>
          <w:sz w:val="20"/>
          <w:szCs w:val="20"/>
          <w:lang w:val="en-US" w:eastAsia="en-AU"/>
        </w:rPr>
        <w:t xml:space="preserve">iteria in the BCS. DELWP concluded that the boundary should be </w:t>
      </w:r>
      <w:r w:rsidRPr="00A82C7F">
        <w:rPr>
          <w:rFonts w:ascii="Arial" w:eastAsia="Calibri" w:hAnsi="Arial" w:cs="Arial"/>
          <w:sz w:val="20"/>
          <w:szCs w:val="20"/>
          <w:lang w:val="en-US" w:eastAsia="en-AU"/>
        </w:rPr>
        <w:t xml:space="preserve">adjusted to reflect the biodiversity values at the site, and to </w:t>
      </w:r>
      <w:r w:rsidRPr="00A82C7F">
        <w:rPr>
          <w:rFonts w:ascii="Arial" w:eastAsia="Calibri" w:hAnsi="Arial" w:cs="Arial"/>
          <w:sz w:val="20"/>
          <w:szCs w:val="20"/>
          <w:lang w:val="en-US" w:eastAsia="en-AU"/>
        </w:rPr>
        <w:t>mini</w:t>
      </w:r>
      <w:r>
        <w:rPr>
          <w:rFonts w:ascii="Arial" w:eastAsia="Calibri" w:hAnsi="Arial" w:cs="Arial"/>
          <w:sz w:val="20"/>
          <w:szCs w:val="20"/>
          <w:lang w:val="en-US" w:eastAsia="en-AU"/>
        </w:rPr>
        <w:t>mis</w:t>
      </w:r>
      <w:r w:rsidRPr="00A82C7F">
        <w:rPr>
          <w:rFonts w:ascii="Arial" w:eastAsia="Calibri" w:hAnsi="Arial" w:cs="Arial"/>
          <w:sz w:val="20"/>
          <w:szCs w:val="20"/>
          <w:lang w:val="en-US" w:eastAsia="en-AU"/>
        </w:rPr>
        <w:t>e</w:t>
      </w:r>
      <w:r w:rsidRPr="00A82C7F">
        <w:rPr>
          <w:rFonts w:ascii="Arial" w:eastAsia="Calibri" w:hAnsi="Arial" w:cs="Arial"/>
          <w:sz w:val="20"/>
          <w:szCs w:val="20"/>
          <w:lang w:val="en-US" w:eastAsia="en-AU"/>
        </w:rPr>
        <w:t xml:space="preserve"> the unnecessary protection and management of areas of low biodiversity value. </w:t>
      </w:r>
    </w:p>
    <w:p w:rsidR="00A82C7F" w:rsidRPr="00A82C7F" w:rsidRDefault="00A82C7F" w:rsidP="00A82C7F">
      <w:pPr>
        <w:spacing w:after="113" w:line="240" w:lineRule="atLeast"/>
        <w:rPr>
          <w:rFonts w:ascii="Arial" w:eastAsia="Calibri" w:hAnsi="Arial" w:cs="Arial"/>
          <w:sz w:val="20"/>
          <w:szCs w:val="20"/>
          <w:lang w:val="en-US" w:eastAsia="en-AU"/>
        </w:rPr>
      </w:pPr>
      <w:r>
        <w:rPr>
          <w:rFonts w:ascii="Arial" w:eastAsia="Calibri" w:hAnsi="Arial" w:cs="Arial"/>
          <w:sz w:val="20"/>
          <w:szCs w:val="20"/>
          <w:lang w:val="en-US" w:eastAsia="en-AU"/>
        </w:rPr>
        <w:t xml:space="preserve">The approved </w:t>
      </w:r>
      <w:r w:rsidRPr="00A82C7F">
        <w:rPr>
          <w:rFonts w:ascii="Arial" w:eastAsia="Calibri" w:hAnsi="Arial" w:cs="Arial"/>
          <w:sz w:val="20"/>
          <w:szCs w:val="20"/>
          <w:lang w:val="en-US" w:eastAsia="en-AU"/>
        </w:rPr>
        <w:t>boundary</w:t>
      </w:r>
      <w:r w:rsidRPr="00A82C7F">
        <w:rPr>
          <w:rFonts w:ascii="Arial" w:eastAsia="Calibri" w:hAnsi="Arial" w:cs="Arial"/>
          <w:sz w:val="20"/>
          <w:szCs w:val="20"/>
          <w:lang w:val="en-US" w:eastAsia="en-AU"/>
        </w:rPr>
        <w:t xml:space="preserve"> excludes an isolated area of 0.881 hectares of Plains Grassland. The habitat score of the area to be excluded is 0.47. The area to be excluded is considered unlikely to meet the listing criteria for the ‘Natural Temperate Grassland of the Victoria Volcanic Plains’. The area to be excluded is isolated from other areas of native vegetation within the conservation area by approximately 350 meters. This </w:t>
      </w:r>
      <w:r w:rsidRPr="00A82C7F">
        <w:rPr>
          <w:rFonts w:ascii="Arial" w:eastAsia="Calibri" w:hAnsi="Arial" w:cs="Arial"/>
          <w:sz w:val="20"/>
          <w:szCs w:val="20"/>
          <w:lang w:val="en-US" w:eastAsia="en-AU"/>
        </w:rPr>
        <w:t xml:space="preserve">area would be further isolated by a connector road required between Manor Lakes and Quandong </w:t>
      </w:r>
      <w:r w:rsidRPr="00A82C7F">
        <w:rPr>
          <w:rFonts w:ascii="Arial" w:eastAsia="Calibri" w:hAnsi="Arial" w:cs="Arial"/>
          <w:sz w:val="20"/>
          <w:szCs w:val="20"/>
          <w:lang w:val="en-US" w:eastAsia="en-AU"/>
        </w:rPr>
        <w:t>precincts</w:t>
      </w:r>
      <w:r>
        <w:rPr>
          <w:rFonts w:ascii="Arial" w:eastAsia="Calibri" w:hAnsi="Arial" w:cs="Arial"/>
          <w:sz w:val="20"/>
          <w:szCs w:val="20"/>
          <w:lang w:val="en-US" w:eastAsia="en-AU"/>
        </w:rPr>
        <w:t xml:space="preserve">, </w:t>
      </w:r>
      <w:r w:rsidRPr="00A82C7F">
        <w:rPr>
          <w:rFonts w:ascii="Arial" w:eastAsia="Calibri" w:hAnsi="Arial" w:cs="Arial"/>
          <w:sz w:val="20"/>
          <w:szCs w:val="20"/>
          <w:lang w:val="en-US" w:eastAsia="en-AU"/>
        </w:rPr>
        <w:t xml:space="preserve">which is identified in the gazetted Manor Lakes Precinct Structure plans. </w:t>
      </w:r>
    </w:p>
    <w:p w:rsidR="00A82C7F" w:rsidRPr="00A82C7F" w:rsidRDefault="00A82C7F" w:rsidP="00A82C7F">
      <w:pPr>
        <w:spacing w:after="113" w:line="240" w:lineRule="atLeast"/>
        <w:rPr>
          <w:rFonts w:ascii="Arial" w:eastAsia="Calibri" w:hAnsi="Arial" w:cs="Arial"/>
          <w:sz w:val="20"/>
          <w:szCs w:val="20"/>
          <w:lang w:val="en-US" w:eastAsia="en-AU"/>
        </w:rPr>
      </w:pPr>
      <w:r w:rsidRPr="00A82C7F">
        <w:rPr>
          <w:rFonts w:ascii="Arial" w:eastAsia="Calibri" w:hAnsi="Arial" w:cs="Arial"/>
          <w:sz w:val="20"/>
          <w:szCs w:val="20"/>
          <w:lang w:val="en-US" w:eastAsia="en-AU"/>
        </w:rPr>
        <w:t xml:space="preserve">No other Matters of National Environmental Significance (MNES) will be impacted by the </w:t>
      </w:r>
      <w:r w:rsidR="005F2C22">
        <w:rPr>
          <w:rFonts w:ascii="Arial" w:eastAsia="Calibri" w:hAnsi="Arial" w:cs="Arial"/>
          <w:sz w:val="20"/>
          <w:szCs w:val="20"/>
          <w:lang w:val="en-US" w:eastAsia="en-AU"/>
        </w:rPr>
        <w:t xml:space="preserve">approved </w:t>
      </w:r>
      <w:r w:rsidRPr="00A82C7F">
        <w:rPr>
          <w:rFonts w:ascii="Arial" w:eastAsia="Calibri" w:hAnsi="Arial" w:cs="Arial"/>
          <w:sz w:val="20"/>
          <w:szCs w:val="20"/>
          <w:lang w:val="en-US" w:eastAsia="en-AU"/>
        </w:rPr>
        <w:t xml:space="preserve">boundary change. </w:t>
      </w:r>
    </w:p>
    <w:p w:rsidR="00A82C7F" w:rsidRPr="00A82C7F" w:rsidRDefault="00A82C7F" w:rsidP="00A82C7F">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r w:rsidRPr="00A82C7F">
        <w:rPr>
          <w:rFonts w:ascii="Arial" w:eastAsia="Times New Roman" w:hAnsi="Arial" w:cs="Arial"/>
          <w:b/>
          <w:bCs/>
          <w:iCs/>
          <w:color w:val="00B2A9"/>
          <w:kern w:val="20"/>
          <w:szCs w:val="28"/>
          <w:lang w:eastAsia="en-AU"/>
        </w:rPr>
        <w:t xml:space="preserve">Commonwealth approval </w:t>
      </w:r>
    </w:p>
    <w:p w:rsidR="00A82C7F" w:rsidRPr="00A82C7F" w:rsidRDefault="00A82C7F" w:rsidP="00A82C7F">
      <w:pPr>
        <w:spacing w:after="113" w:line="240" w:lineRule="atLeast"/>
        <w:rPr>
          <w:rFonts w:ascii="Arial" w:eastAsia="Times New Roman" w:hAnsi="Arial" w:cs="Times New Roman"/>
          <w:sz w:val="20"/>
          <w:szCs w:val="20"/>
        </w:rPr>
      </w:pPr>
      <w:bookmarkStart w:id="2" w:name="_GoBack"/>
      <w:r>
        <w:rPr>
          <w:rFonts w:ascii="Arial" w:eastAsia="Times New Roman" w:hAnsi="Arial" w:cs="Times New Roman"/>
          <w:sz w:val="20"/>
          <w:szCs w:val="20"/>
        </w:rPr>
        <w:t xml:space="preserve">The </w:t>
      </w:r>
      <w:r w:rsidRPr="00A82C7F">
        <w:rPr>
          <w:rFonts w:ascii="Arial" w:eastAsia="Times New Roman" w:hAnsi="Arial" w:cs="Times New Roman"/>
          <w:sz w:val="20"/>
          <w:szCs w:val="20"/>
        </w:rPr>
        <w:t>boundary</w:t>
      </w:r>
      <w:r>
        <w:rPr>
          <w:rFonts w:ascii="Arial" w:eastAsia="Times New Roman" w:hAnsi="Arial" w:cs="Times New Roman"/>
          <w:sz w:val="20"/>
          <w:szCs w:val="20"/>
        </w:rPr>
        <w:t xml:space="preserve"> change of</w:t>
      </w:r>
      <w:r w:rsidRPr="00A82C7F">
        <w:rPr>
          <w:rFonts w:ascii="Arial" w:eastAsia="Times New Roman" w:hAnsi="Arial" w:cs="Times New Roman"/>
          <w:sz w:val="20"/>
          <w:szCs w:val="20"/>
        </w:rPr>
        <w:t xml:space="preserve"> CA 13</w:t>
      </w:r>
      <w:r>
        <w:rPr>
          <w:rFonts w:ascii="Arial" w:eastAsia="Times New Roman" w:hAnsi="Arial" w:cs="Times New Roman"/>
          <w:sz w:val="20"/>
          <w:szCs w:val="20"/>
        </w:rPr>
        <w:t xml:space="preserve"> has received</w:t>
      </w:r>
      <w:r w:rsidRPr="00A82C7F">
        <w:rPr>
          <w:rFonts w:ascii="Arial" w:eastAsia="Times New Roman" w:hAnsi="Arial" w:cs="Times New Roman"/>
          <w:sz w:val="20"/>
          <w:szCs w:val="20"/>
        </w:rPr>
        <w:t xml:space="preserve"> approval from the Commonwealth Minister of the Department of Environment, as per condition 4 of the September 2013 MSA approval. </w:t>
      </w:r>
    </w:p>
    <w:bookmarkEnd w:id="2"/>
    <w:p w:rsidR="00A82C7F" w:rsidRPr="00A82C7F" w:rsidRDefault="00A82C7F" w:rsidP="00A82C7F">
      <w:pPr>
        <w:spacing w:after="113" w:line="240" w:lineRule="atLeast"/>
        <w:rPr>
          <w:rFonts w:ascii="Calibri" w:eastAsia="Calibri" w:hAnsi="Calibri" w:cs="Arial"/>
          <w:szCs w:val="24"/>
          <w:lang w:val="en-US"/>
        </w:rPr>
      </w:pPr>
    </w:p>
    <w:tbl>
      <w:tblPr>
        <w:tblStyle w:val="TableGrid1"/>
        <w:tblW w:w="5245" w:type="dxa"/>
        <w:tblLook w:val="00A0" w:firstRow="1" w:lastRow="0" w:firstColumn="1" w:lastColumn="0" w:noHBand="0" w:noVBand="0"/>
      </w:tblPr>
      <w:tblGrid>
        <w:gridCol w:w="1559"/>
        <w:gridCol w:w="3686"/>
      </w:tblGrid>
      <w:tr w:rsidR="00A82C7F" w:rsidRPr="00A82C7F" w:rsidTr="00A82C7F">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5245" w:type="dxa"/>
            <w:gridSpan w:val="2"/>
          </w:tcPr>
          <w:p w:rsidR="00A82C7F" w:rsidRPr="00A82C7F" w:rsidRDefault="00A82C7F" w:rsidP="00A82C7F">
            <w:pPr>
              <w:spacing w:after="113"/>
              <w:rPr>
                <w:b/>
                <w:sz w:val="20"/>
              </w:rPr>
            </w:pPr>
            <w:r w:rsidRPr="00A82C7F">
              <w:rPr>
                <w:b/>
                <w:sz w:val="20"/>
              </w:rPr>
              <w:t>Table 1: Key information for CA 13.</w:t>
            </w:r>
          </w:p>
        </w:tc>
      </w:tr>
      <w:tr w:rsidR="00A82C7F" w:rsidRPr="00A82C7F" w:rsidTr="00A82C7F">
        <w:tc>
          <w:tcPr>
            <w:tcW w:w="1559" w:type="dxa"/>
          </w:tcPr>
          <w:p w:rsidR="00A82C7F" w:rsidRPr="00A82C7F" w:rsidRDefault="00A82C7F" w:rsidP="00A82C7F">
            <w:pPr>
              <w:spacing w:after="113"/>
              <w:rPr>
                <w:rFonts w:ascii="Arial" w:hAnsi="Arial"/>
                <w:sz w:val="20"/>
              </w:rPr>
            </w:pPr>
            <w:r w:rsidRPr="00A82C7F">
              <w:rPr>
                <w:rFonts w:ascii="Arial" w:hAnsi="Arial"/>
                <w:sz w:val="20"/>
              </w:rPr>
              <w:t>Conservation area number and location</w:t>
            </w:r>
          </w:p>
        </w:tc>
        <w:tc>
          <w:tcPr>
            <w:cnfStyle w:val="000010000000" w:firstRow="0" w:lastRow="0" w:firstColumn="0" w:lastColumn="0" w:oddVBand="1" w:evenVBand="0" w:oddHBand="0" w:evenHBand="0" w:firstRowFirstColumn="0" w:firstRowLastColumn="0" w:lastRowFirstColumn="0" w:lastRowLastColumn="0"/>
            <w:tcW w:w="3686" w:type="dxa"/>
          </w:tcPr>
          <w:p w:rsidR="00A82C7F" w:rsidRPr="00A82C7F" w:rsidRDefault="00A82C7F" w:rsidP="00A82C7F">
            <w:pPr>
              <w:spacing w:after="113"/>
              <w:rPr>
                <w:rFonts w:ascii="Arial" w:hAnsi="Arial"/>
                <w:sz w:val="20"/>
              </w:rPr>
            </w:pPr>
            <w:r w:rsidRPr="00A82C7F">
              <w:rPr>
                <w:rFonts w:ascii="Arial" w:hAnsi="Arial"/>
                <w:sz w:val="20"/>
              </w:rPr>
              <w:t xml:space="preserve">BCS Conservation Area 13 </w:t>
            </w:r>
          </w:p>
          <w:p w:rsidR="00A82C7F" w:rsidRPr="00A82C7F" w:rsidRDefault="00A82C7F" w:rsidP="00A82C7F">
            <w:pPr>
              <w:spacing w:after="113"/>
              <w:rPr>
                <w:rFonts w:ascii="Arial" w:hAnsi="Arial"/>
                <w:sz w:val="20"/>
              </w:rPr>
            </w:pPr>
            <w:r w:rsidRPr="00A82C7F">
              <w:rPr>
                <w:rFonts w:ascii="Arial" w:hAnsi="Arial"/>
                <w:sz w:val="20"/>
              </w:rPr>
              <w:t>Ballan Road, Wyndham Vale</w:t>
            </w:r>
          </w:p>
        </w:tc>
      </w:tr>
      <w:tr w:rsidR="00A82C7F" w:rsidRPr="00A82C7F" w:rsidTr="00A82C7F">
        <w:tc>
          <w:tcPr>
            <w:tcW w:w="1559" w:type="dxa"/>
          </w:tcPr>
          <w:p w:rsidR="00A82C7F" w:rsidRPr="00A82C7F" w:rsidRDefault="00A82C7F" w:rsidP="00A82C7F">
            <w:pPr>
              <w:spacing w:after="113"/>
              <w:rPr>
                <w:rFonts w:ascii="Arial" w:hAnsi="Arial"/>
                <w:sz w:val="20"/>
              </w:rPr>
            </w:pPr>
            <w:r w:rsidRPr="00A82C7F">
              <w:rPr>
                <w:rFonts w:ascii="Arial" w:hAnsi="Arial"/>
                <w:sz w:val="20"/>
              </w:rPr>
              <w:lastRenderedPageBreak/>
              <w:t>Type of conservation area</w:t>
            </w:r>
          </w:p>
        </w:tc>
        <w:tc>
          <w:tcPr>
            <w:cnfStyle w:val="000010000000" w:firstRow="0" w:lastRow="0" w:firstColumn="0" w:lastColumn="0" w:oddVBand="1" w:evenVBand="0" w:oddHBand="0" w:evenHBand="0" w:firstRowFirstColumn="0" w:firstRowLastColumn="0" w:lastRowFirstColumn="0" w:lastRowLastColumn="0"/>
            <w:tcW w:w="3686" w:type="dxa"/>
          </w:tcPr>
          <w:p w:rsidR="00A82C7F" w:rsidRPr="00A82C7F" w:rsidRDefault="00A82C7F" w:rsidP="00A82C7F">
            <w:pPr>
              <w:spacing w:after="113"/>
              <w:rPr>
                <w:rFonts w:ascii="Arial" w:hAnsi="Arial"/>
                <w:sz w:val="20"/>
              </w:rPr>
            </w:pPr>
            <w:r w:rsidRPr="00A82C7F">
              <w:rPr>
                <w:rFonts w:ascii="Arial" w:hAnsi="Arial"/>
                <w:sz w:val="20"/>
              </w:rPr>
              <w:t xml:space="preserve">Currently undetermined conservation area category. </w:t>
            </w:r>
          </w:p>
        </w:tc>
      </w:tr>
      <w:tr w:rsidR="00A82C7F" w:rsidRPr="00A82C7F" w:rsidTr="00A82C7F">
        <w:tc>
          <w:tcPr>
            <w:tcW w:w="1559" w:type="dxa"/>
          </w:tcPr>
          <w:p w:rsidR="00A82C7F" w:rsidRPr="00A82C7F" w:rsidRDefault="00A82C7F" w:rsidP="00A82C7F">
            <w:pPr>
              <w:spacing w:after="113"/>
              <w:rPr>
                <w:rFonts w:ascii="Arial" w:hAnsi="Arial"/>
                <w:sz w:val="20"/>
              </w:rPr>
            </w:pPr>
            <w:r w:rsidRPr="00A82C7F">
              <w:rPr>
                <w:rFonts w:ascii="Arial" w:hAnsi="Arial"/>
                <w:sz w:val="20"/>
              </w:rPr>
              <w:t xml:space="preserve">Precinct name </w:t>
            </w:r>
          </w:p>
        </w:tc>
        <w:tc>
          <w:tcPr>
            <w:cnfStyle w:val="000010000000" w:firstRow="0" w:lastRow="0" w:firstColumn="0" w:lastColumn="0" w:oddVBand="1" w:evenVBand="0" w:oddHBand="0" w:evenHBand="0" w:firstRowFirstColumn="0" w:firstRowLastColumn="0" w:lastRowFirstColumn="0" w:lastRowLastColumn="0"/>
            <w:tcW w:w="3686" w:type="dxa"/>
          </w:tcPr>
          <w:p w:rsidR="00A82C7F" w:rsidRPr="00A82C7F" w:rsidRDefault="00A82C7F" w:rsidP="00A82C7F">
            <w:pPr>
              <w:spacing w:after="113"/>
              <w:rPr>
                <w:rFonts w:ascii="Arial" w:hAnsi="Arial"/>
                <w:sz w:val="20"/>
              </w:rPr>
            </w:pPr>
            <w:r w:rsidRPr="00A82C7F">
              <w:rPr>
                <w:rFonts w:ascii="Arial" w:hAnsi="Arial"/>
                <w:sz w:val="20"/>
              </w:rPr>
              <w:t>Quandong</w:t>
            </w:r>
          </w:p>
        </w:tc>
      </w:tr>
      <w:tr w:rsidR="00A82C7F" w:rsidRPr="00A82C7F" w:rsidTr="00A82C7F">
        <w:tc>
          <w:tcPr>
            <w:tcW w:w="1559" w:type="dxa"/>
          </w:tcPr>
          <w:p w:rsidR="00A82C7F" w:rsidRPr="00A82C7F" w:rsidRDefault="00A82C7F" w:rsidP="00A82C7F">
            <w:pPr>
              <w:spacing w:after="113"/>
              <w:rPr>
                <w:rFonts w:ascii="Arial" w:hAnsi="Arial"/>
                <w:sz w:val="20"/>
              </w:rPr>
            </w:pPr>
            <w:r w:rsidRPr="00A82C7F">
              <w:rPr>
                <w:rFonts w:ascii="Arial" w:hAnsi="Arial"/>
                <w:sz w:val="20"/>
              </w:rPr>
              <w:t>Council area</w:t>
            </w:r>
          </w:p>
        </w:tc>
        <w:tc>
          <w:tcPr>
            <w:cnfStyle w:val="000010000000" w:firstRow="0" w:lastRow="0" w:firstColumn="0" w:lastColumn="0" w:oddVBand="1" w:evenVBand="0" w:oddHBand="0" w:evenHBand="0" w:firstRowFirstColumn="0" w:firstRowLastColumn="0" w:lastRowFirstColumn="0" w:lastRowLastColumn="0"/>
            <w:tcW w:w="3686" w:type="dxa"/>
          </w:tcPr>
          <w:p w:rsidR="00A82C7F" w:rsidRPr="00A82C7F" w:rsidRDefault="00A82C7F" w:rsidP="00A82C7F">
            <w:pPr>
              <w:spacing w:after="113"/>
              <w:rPr>
                <w:rFonts w:ascii="Arial" w:hAnsi="Arial"/>
                <w:sz w:val="20"/>
              </w:rPr>
            </w:pPr>
            <w:r w:rsidRPr="00A82C7F">
              <w:rPr>
                <w:rFonts w:ascii="Arial" w:hAnsi="Arial"/>
                <w:sz w:val="20"/>
              </w:rPr>
              <w:t>Wyndham City Council</w:t>
            </w:r>
          </w:p>
        </w:tc>
      </w:tr>
      <w:tr w:rsidR="00A82C7F" w:rsidRPr="00A82C7F" w:rsidTr="00A82C7F">
        <w:tc>
          <w:tcPr>
            <w:tcW w:w="1559" w:type="dxa"/>
          </w:tcPr>
          <w:p w:rsidR="00A82C7F" w:rsidRPr="00A82C7F" w:rsidRDefault="00A82C7F" w:rsidP="00A82C7F">
            <w:pPr>
              <w:spacing w:after="113"/>
              <w:rPr>
                <w:rFonts w:ascii="Arial" w:hAnsi="Arial"/>
                <w:sz w:val="20"/>
              </w:rPr>
            </w:pPr>
            <w:r w:rsidRPr="00A82C7F">
              <w:rPr>
                <w:rFonts w:ascii="Arial" w:hAnsi="Arial"/>
                <w:sz w:val="20"/>
              </w:rPr>
              <w:t>Applicant</w:t>
            </w:r>
          </w:p>
        </w:tc>
        <w:tc>
          <w:tcPr>
            <w:cnfStyle w:val="000010000000" w:firstRow="0" w:lastRow="0" w:firstColumn="0" w:lastColumn="0" w:oddVBand="1" w:evenVBand="0" w:oddHBand="0" w:evenHBand="0" w:firstRowFirstColumn="0" w:firstRowLastColumn="0" w:lastRowFirstColumn="0" w:lastRowLastColumn="0"/>
            <w:tcW w:w="3686" w:type="dxa"/>
          </w:tcPr>
          <w:p w:rsidR="00A82C7F" w:rsidRPr="00A82C7F" w:rsidRDefault="00A82C7F" w:rsidP="00A82C7F">
            <w:pPr>
              <w:spacing w:after="113"/>
              <w:rPr>
                <w:rFonts w:ascii="Arial" w:hAnsi="Arial"/>
                <w:sz w:val="20"/>
              </w:rPr>
            </w:pPr>
            <w:r w:rsidRPr="00A82C7F">
              <w:rPr>
                <w:rFonts w:ascii="Arial" w:hAnsi="Arial"/>
                <w:sz w:val="20"/>
              </w:rPr>
              <w:t>DELWP on behalf of MPA/Council/landowners</w:t>
            </w:r>
          </w:p>
        </w:tc>
      </w:tr>
      <w:tr w:rsidR="00A82C7F" w:rsidRPr="00A82C7F" w:rsidTr="00A82C7F">
        <w:tc>
          <w:tcPr>
            <w:tcW w:w="1559" w:type="dxa"/>
          </w:tcPr>
          <w:p w:rsidR="00A82C7F" w:rsidRPr="00A82C7F" w:rsidRDefault="00A82C7F" w:rsidP="00A82C7F">
            <w:pPr>
              <w:spacing w:after="113"/>
              <w:rPr>
                <w:rFonts w:ascii="Arial" w:hAnsi="Arial"/>
                <w:sz w:val="20"/>
              </w:rPr>
            </w:pPr>
            <w:r w:rsidRPr="00A82C7F">
              <w:rPr>
                <w:rFonts w:ascii="Arial" w:hAnsi="Arial"/>
                <w:sz w:val="20"/>
              </w:rPr>
              <w:t>Property addresses</w:t>
            </w:r>
          </w:p>
        </w:tc>
        <w:tc>
          <w:tcPr>
            <w:cnfStyle w:val="000010000000" w:firstRow="0" w:lastRow="0" w:firstColumn="0" w:lastColumn="0" w:oddVBand="1" w:evenVBand="0" w:oddHBand="0" w:evenHBand="0" w:firstRowFirstColumn="0" w:firstRowLastColumn="0" w:lastRowFirstColumn="0" w:lastRowLastColumn="0"/>
            <w:tcW w:w="3686" w:type="dxa"/>
          </w:tcPr>
          <w:p w:rsidR="00A82C7F" w:rsidRPr="00A82C7F" w:rsidRDefault="00A82C7F" w:rsidP="00A82C7F">
            <w:pPr>
              <w:spacing w:after="113"/>
              <w:rPr>
                <w:rFonts w:ascii="Arial" w:hAnsi="Arial"/>
                <w:sz w:val="20"/>
              </w:rPr>
            </w:pPr>
            <w:r w:rsidRPr="00A82C7F">
              <w:rPr>
                <w:rFonts w:ascii="Arial" w:hAnsi="Arial"/>
                <w:sz w:val="20"/>
              </w:rPr>
              <w:t>8\LP125246 Ballan Road Wyndham Vale</w:t>
            </w:r>
          </w:p>
          <w:p w:rsidR="00A82C7F" w:rsidRPr="00A82C7F" w:rsidRDefault="00A82C7F" w:rsidP="00A82C7F">
            <w:pPr>
              <w:spacing w:after="113"/>
              <w:rPr>
                <w:rFonts w:ascii="Arial" w:hAnsi="Arial"/>
                <w:sz w:val="20"/>
              </w:rPr>
            </w:pPr>
            <w:r w:rsidRPr="00A82C7F">
              <w:rPr>
                <w:rFonts w:ascii="Arial" w:hAnsi="Arial"/>
                <w:sz w:val="20"/>
              </w:rPr>
              <w:t>6\LP125246 1005 Ballan Road Wyndham Vale</w:t>
            </w:r>
          </w:p>
          <w:p w:rsidR="00A82C7F" w:rsidRPr="00A82C7F" w:rsidRDefault="00A82C7F" w:rsidP="00A82C7F">
            <w:pPr>
              <w:spacing w:after="113"/>
              <w:rPr>
                <w:rFonts w:ascii="Arial" w:hAnsi="Arial"/>
                <w:sz w:val="20"/>
              </w:rPr>
            </w:pPr>
            <w:r w:rsidRPr="00A82C7F">
              <w:rPr>
                <w:rFonts w:ascii="Arial" w:hAnsi="Arial"/>
                <w:sz w:val="20"/>
              </w:rPr>
              <w:t>1\TP624547 Argoona Road Wyndham Vale</w:t>
            </w:r>
          </w:p>
        </w:tc>
      </w:tr>
      <w:tr w:rsidR="00A82C7F" w:rsidRPr="00A82C7F" w:rsidTr="00A82C7F">
        <w:tc>
          <w:tcPr>
            <w:tcW w:w="1559" w:type="dxa"/>
          </w:tcPr>
          <w:p w:rsidR="00A82C7F" w:rsidRPr="00A82C7F" w:rsidRDefault="00A82C7F" w:rsidP="00A82C7F">
            <w:pPr>
              <w:spacing w:after="113"/>
              <w:rPr>
                <w:rFonts w:ascii="Arial" w:hAnsi="Arial"/>
                <w:sz w:val="20"/>
              </w:rPr>
            </w:pPr>
            <w:r w:rsidRPr="00A82C7F">
              <w:rPr>
                <w:rFonts w:ascii="Arial" w:hAnsi="Arial"/>
                <w:sz w:val="20"/>
              </w:rPr>
              <w:t xml:space="preserve">Were surveys undertaken to inform </w:t>
            </w:r>
            <w:r w:rsidR="005F2C22">
              <w:rPr>
                <w:rFonts w:ascii="Arial" w:hAnsi="Arial"/>
                <w:sz w:val="20"/>
              </w:rPr>
              <w:t>approved</w:t>
            </w:r>
            <w:r w:rsidRPr="00A82C7F">
              <w:rPr>
                <w:rFonts w:ascii="Arial" w:hAnsi="Arial"/>
                <w:sz w:val="20"/>
              </w:rPr>
              <w:t xml:space="preserve"> boundary change?</w:t>
            </w:r>
          </w:p>
        </w:tc>
        <w:tc>
          <w:tcPr>
            <w:cnfStyle w:val="000010000000" w:firstRow="0" w:lastRow="0" w:firstColumn="0" w:lastColumn="0" w:oddVBand="1" w:evenVBand="0" w:oddHBand="0" w:evenHBand="0" w:firstRowFirstColumn="0" w:firstRowLastColumn="0" w:lastRowFirstColumn="0" w:lastRowLastColumn="0"/>
            <w:tcW w:w="3686" w:type="dxa"/>
          </w:tcPr>
          <w:p w:rsidR="00A82C7F" w:rsidRPr="00A82C7F" w:rsidRDefault="00A82C7F" w:rsidP="00A82C7F">
            <w:pPr>
              <w:spacing w:after="113"/>
              <w:rPr>
                <w:rFonts w:ascii="Arial" w:hAnsi="Arial"/>
                <w:sz w:val="20"/>
              </w:rPr>
            </w:pPr>
            <w:r w:rsidRPr="00A82C7F">
              <w:rPr>
                <w:rFonts w:ascii="Arial" w:hAnsi="Arial"/>
                <w:sz w:val="20"/>
              </w:rPr>
              <w:t>Yes, surveys of native vegetation, scattered trees and MNES were undertaken by a qualified consultant.</w:t>
            </w:r>
          </w:p>
        </w:tc>
      </w:tr>
    </w:tbl>
    <w:p w:rsidR="00A82C7F" w:rsidRPr="00A82C7F" w:rsidRDefault="00A82C7F" w:rsidP="00A82C7F">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r w:rsidRPr="00A82C7F">
        <w:rPr>
          <w:rFonts w:ascii="Arial" w:eastAsia="Times New Roman" w:hAnsi="Arial" w:cs="Arial"/>
          <w:b/>
          <w:bCs/>
          <w:iCs/>
          <w:color w:val="00B2A9"/>
          <w:kern w:val="20"/>
          <w:szCs w:val="28"/>
          <w:lang w:eastAsia="en-AU"/>
        </w:rPr>
        <w:t>Assessment criteria</w:t>
      </w:r>
    </w:p>
    <w:p w:rsidR="00A82C7F" w:rsidRPr="00A82C7F" w:rsidRDefault="00A82C7F" w:rsidP="00A82C7F">
      <w:pPr>
        <w:spacing w:after="113" w:line="240" w:lineRule="atLeast"/>
        <w:rPr>
          <w:rFonts w:ascii="Arial" w:eastAsia="Times New Roman" w:hAnsi="Arial" w:cs="Times New Roman"/>
          <w:sz w:val="20"/>
          <w:szCs w:val="20"/>
        </w:rPr>
      </w:pPr>
      <w:r w:rsidRPr="00A82C7F">
        <w:rPr>
          <w:rFonts w:ascii="Arial" w:eastAsia="Times New Roman" w:hAnsi="Arial" w:cs="Times New Roman"/>
          <w:sz w:val="20"/>
          <w:szCs w:val="20"/>
        </w:rPr>
        <w:t xml:space="preserve">The boundary change for CA 13 has been assessed against the criteria in the ‘MSA Prescriptions’ and the ‘Guidance Note for the Biodiversity Conservation Strategy’. </w:t>
      </w:r>
    </w:p>
    <w:p w:rsidR="00A82C7F" w:rsidRPr="00A82C7F" w:rsidRDefault="005F2C22" w:rsidP="00A82C7F">
      <w:pPr>
        <w:spacing w:after="113" w:line="240" w:lineRule="atLeast"/>
        <w:rPr>
          <w:rFonts w:ascii="Arial" w:eastAsia="Times New Roman" w:hAnsi="Arial" w:cs="Times New Roman"/>
          <w:sz w:val="20"/>
          <w:szCs w:val="20"/>
        </w:rPr>
      </w:pPr>
      <w:r>
        <w:rPr>
          <w:rFonts w:ascii="Arial" w:eastAsia="Times New Roman" w:hAnsi="Arial" w:cs="Times New Roman"/>
          <w:sz w:val="20"/>
          <w:szCs w:val="20"/>
        </w:rPr>
        <w:t xml:space="preserve">The approved </w:t>
      </w:r>
      <w:r w:rsidR="00A82C7F" w:rsidRPr="00A82C7F">
        <w:rPr>
          <w:rFonts w:ascii="Arial" w:eastAsia="Times New Roman" w:hAnsi="Arial" w:cs="Times New Roman"/>
          <w:sz w:val="20"/>
          <w:szCs w:val="20"/>
        </w:rPr>
        <w:t>boundary change is considered necessary as per:</w:t>
      </w:r>
    </w:p>
    <w:p w:rsidR="00A82C7F" w:rsidRPr="00A82C7F" w:rsidRDefault="00A82C7F" w:rsidP="00A82C7F">
      <w:pPr>
        <w:spacing w:after="113" w:line="240" w:lineRule="atLeast"/>
        <w:rPr>
          <w:rFonts w:ascii="Arial" w:eastAsia="Times New Roman" w:hAnsi="Arial" w:cs="Times New Roman"/>
          <w:sz w:val="20"/>
          <w:szCs w:val="20"/>
        </w:rPr>
      </w:pPr>
      <w:r w:rsidRPr="00A82C7F">
        <w:rPr>
          <w:rFonts w:ascii="Arial" w:eastAsia="Times New Roman" w:hAnsi="Arial" w:cs="Times New Roman"/>
          <w:b/>
          <w:sz w:val="20"/>
          <w:szCs w:val="20"/>
        </w:rPr>
        <w:t>Criteria A</w:t>
      </w:r>
      <w:r w:rsidRPr="00A82C7F">
        <w:rPr>
          <w:rFonts w:ascii="Arial" w:eastAsia="Times New Roman" w:hAnsi="Arial" w:cs="Times New Roman"/>
          <w:sz w:val="20"/>
          <w:szCs w:val="20"/>
        </w:rPr>
        <w:t xml:space="preserve"> - the conservation area contains an area of low biodiversity value for MNES and is not required under the MSA Prescriptions. </w:t>
      </w:r>
    </w:p>
    <w:p w:rsidR="00A82C7F" w:rsidRPr="00A82C7F" w:rsidRDefault="005F2C22" w:rsidP="00A82C7F">
      <w:pPr>
        <w:spacing w:after="113" w:line="240" w:lineRule="atLeast"/>
        <w:rPr>
          <w:rFonts w:ascii="Arial" w:eastAsia="Times New Roman" w:hAnsi="Arial" w:cs="Times New Roman"/>
          <w:sz w:val="20"/>
          <w:szCs w:val="20"/>
          <w:u w:val="single"/>
        </w:rPr>
      </w:pPr>
      <w:r>
        <w:rPr>
          <w:rFonts w:ascii="Arial" w:eastAsia="Times New Roman" w:hAnsi="Arial" w:cs="Times New Roman"/>
          <w:sz w:val="20"/>
          <w:szCs w:val="20"/>
          <w:u w:val="single"/>
        </w:rPr>
        <w:t>The approved</w:t>
      </w:r>
      <w:r w:rsidR="00A82C7F" w:rsidRPr="00A82C7F">
        <w:rPr>
          <w:rFonts w:ascii="Arial" w:eastAsia="Times New Roman" w:hAnsi="Arial" w:cs="Times New Roman"/>
          <w:sz w:val="20"/>
          <w:szCs w:val="20"/>
          <w:u w:val="single"/>
        </w:rPr>
        <w:t xml:space="preserve"> boundary change to CA 13:</w:t>
      </w:r>
    </w:p>
    <w:p w:rsidR="00A82C7F" w:rsidRPr="00A82C7F" w:rsidRDefault="00A82C7F" w:rsidP="00A82C7F">
      <w:pPr>
        <w:numPr>
          <w:ilvl w:val="0"/>
          <w:numId w:val="3"/>
        </w:numPr>
        <w:spacing w:before="120" w:after="0" w:line="260" w:lineRule="exact"/>
        <w:rPr>
          <w:rFonts w:ascii="Arial" w:eastAsia="Times New Roman" w:hAnsi="Arial" w:cs="Times New Roman"/>
          <w:sz w:val="20"/>
          <w:szCs w:val="20"/>
        </w:rPr>
      </w:pPr>
      <w:r w:rsidRPr="00A82C7F">
        <w:rPr>
          <w:rFonts w:ascii="Arial" w:eastAsia="Times New Roman" w:hAnsi="Arial" w:cs="Times New Roman"/>
          <w:sz w:val="20"/>
          <w:szCs w:val="20"/>
        </w:rPr>
        <w:t>Provide an effective management area to maintain the site’s biodiversity values</w:t>
      </w:r>
    </w:p>
    <w:p w:rsidR="00A82C7F" w:rsidRPr="00A82C7F" w:rsidRDefault="00A82C7F" w:rsidP="00A82C7F">
      <w:pPr>
        <w:numPr>
          <w:ilvl w:val="0"/>
          <w:numId w:val="3"/>
        </w:numPr>
        <w:spacing w:before="120" w:after="0" w:line="260" w:lineRule="exact"/>
        <w:rPr>
          <w:rFonts w:ascii="Arial" w:eastAsia="Times New Roman" w:hAnsi="Arial" w:cs="Times New Roman"/>
          <w:sz w:val="20"/>
          <w:szCs w:val="20"/>
        </w:rPr>
      </w:pPr>
      <w:r w:rsidRPr="00A82C7F">
        <w:rPr>
          <w:rFonts w:ascii="Arial" w:eastAsia="Times New Roman" w:hAnsi="Arial" w:cs="Times New Roman"/>
          <w:sz w:val="20"/>
          <w:szCs w:val="20"/>
        </w:rPr>
        <w:t xml:space="preserve">Excludes a small isolated area of 0.881 hectares native vegetation on the western boundary. The area is considered unlikely to meet the definition criteria for Natural Temperate Grassland. </w:t>
      </w:r>
    </w:p>
    <w:p w:rsidR="00A82C7F" w:rsidRPr="00A82C7F" w:rsidRDefault="00A82C7F" w:rsidP="00A82C7F">
      <w:pPr>
        <w:numPr>
          <w:ilvl w:val="0"/>
          <w:numId w:val="3"/>
        </w:numPr>
        <w:spacing w:before="120" w:after="0" w:line="260" w:lineRule="exact"/>
        <w:rPr>
          <w:rFonts w:ascii="Arial" w:eastAsia="Times New Roman" w:hAnsi="Arial" w:cs="Times New Roman"/>
          <w:sz w:val="20"/>
          <w:szCs w:val="20"/>
        </w:rPr>
      </w:pPr>
      <w:r w:rsidRPr="00A82C7F">
        <w:rPr>
          <w:rFonts w:ascii="Arial" w:eastAsia="Times New Roman" w:hAnsi="Arial" w:cs="Times New Roman"/>
          <w:sz w:val="20"/>
          <w:szCs w:val="20"/>
        </w:rPr>
        <w:t>No other MNES</w:t>
      </w:r>
      <w:r w:rsidR="005F2C22">
        <w:rPr>
          <w:rFonts w:ascii="Arial" w:eastAsia="Times New Roman" w:hAnsi="Arial" w:cs="Times New Roman"/>
          <w:sz w:val="20"/>
          <w:szCs w:val="20"/>
        </w:rPr>
        <w:t xml:space="preserve"> are impacted by the approved</w:t>
      </w:r>
      <w:r w:rsidRPr="00A82C7F">
        <w:rPr>
          <w:rFonts w:ascii="Arial" w:eastAsia="Times New Roman" w:hAnsi="Arial" w:cs="Times New Roman"/>
          <w:sz w:val="20"/>
          <w:szCs w:val="20"/>
        </w:rPr>
        <w:t xml:space="preserve"> boundary change.</w:t>
      </w:r>
    </w:p>
    <w:p w:rsidR="00A82C7F" w:rsidRPr="00A82C7F" w:rsidRDefault="00A82C7F" w:rsidP="00A82C7F">
      <w:pPr>
        <w:spacing w:after="113" w:line="240" w:lineRule="atLeast"/>
        <w:rPr>
          <w:rFonts w:ascii="Arial" w:eastAsia="Times New Roman" w:hAnsi="Arial" w:cs="Times New Roman"/>
          <w:sz w:val="20"/>
          <w:szCs w:val="20"/>
        </w:rPr>
      </w:pPr>
    </w:p>
    <w:p w:rsidR="00A82C7F" w:rsidRPr="00A82C7F" w:rsidRDefault="005F2C22" w:rsidP="00A82C7F">
      <w:pPr>
        <w:spacing w:after="113" w:line="240" w:lineRule="atLeast"/>
        <w:rPr>
          <w:rFonts w:ascii="Arial" w:eastAsia="Times New Roman" w:hAnsi="Arial" w:cs="Times New Roman"/>
          <w:sz w:val="20"/>
          <w:szCs w:val="20"/>
        </w:rPr>
      </w:pPr>
      <w:r>
        <w:rPr>
          <w:rFonts w:ascii="Arial" w:eastAsia="Times New Roman" w:hAnsi="Arial" w:cs="Times New Roman"/>
          <w:sz w:val="20"/>
          <w:szCs w:val="20"/>
        </w:rPr>
        <w:t>The approved</w:t>
      </w:r>
      <w:r w:rsidR="00A82C7F" w:rsidRPr="00A82C7F">
        <w:rPr>
          <w:rFonts w:ascii="Arial" w:eastAsia="Times New Roman" w:hAnsi="Arial" w:cs="Times New Roman"/>
          <w:sz w:val="20"/>
          <w:szCs w:val="20"/>
        </w:rPr>
        <w:t xml:space="preserve"> boundary change is also considered necessary as per:</w:t>
      </w:r>
    </w:p>
    <w:p w:rsidR="00A82C7F" w:rsidRPr="00A82C7F" w:rsidRDefault="00A82C7F" w:rsidP="00A82C7F">
      <w:pPr>
        <w:spacing w:after="113" w:line="240" w:lineRule="atLeast"/>
        <w:rPr>
          <w:rFonts w:ascii="Arial" w:eastAsia="Times New Roman" w:hAnsi="Arial" w:cs="Times New Roman"/>
          <w:sz w:val="20"/>
          <w:szCs w:val="20"/>
        </w:rPr>
      </w:pPr>
      <w:r w:rsidRPr="00A82C7F">
        <w:rPr>
          <w:rFonts w:ascii="Arial" w:eastAsia="Times New Roman" w:hAnsi="Arial" w:cs="Arial"/>
          <w:b/>
          <w:sz w:val="20"/>
          <w:szCs w:val="20"/>
          <w:lang w:eastAsia="en-AU"/>
        </w:rPr>
        <w:t xml:space="preserve">Criteria B. </w:t>
      </w:r>
      <w:r w:rsidRPr="00A82C7F">
        <w:rPr>
          <w:rFonts w:ascii="Arial" w:eastAsia="Times New Roman" w:hAnsi="Arial" w:cs="Times New Roman"/>
          <w:sz w:val="20"/>
          <w:szCs w:val="20"/>
        </w:rPr>
        <w:t xml:space="preserve">The adjustment is required to address urban planning objectives of a precinct structure plan, such as appropriate urban form, roads, bridges, water management and other infrastructure. </w:t>
      </w:r>
    </w:p>
    <w:p w:rsidR="00A82C7F" w:rsidRPr="00A82C7F" w:rsidRDefault="005F2C22" w:rsidP="00A82C7F">
      <w:pPr>
        <w:spacing w:after="113" w:line="240" w:lineRule="atLeast"/>
        <w:rPr>
          <w:rFonts w:ascii="Arial" w:eastAsia="Times New Roman" w:hAnsi="Arial" w:cs="Times New Roman"/>
          <w:sz w:val="20"/>
          <w:szCs w:val="20"/>
          <w:u w:val="single"/>
        </w:rPr>
      </w:pPr>
      <w:r>
        <w:rPr>
          <w:rFonts w:ascii="Arial" w:eastAsia="Times New Roman" w:hAnsi="Arial" w:cs="Times New Roman"/>
          <w:sz w:val="20"/>
          <w:szCs w:val="20"/>
          <w:u w:val="single"/>
        </w:rPr>
        <w:t>The approved</w:t>
      </w:r>
      <w:r w:rsidR="00A82C7F" w:rsidRPr="00A82C7F">
        <w:rPr>
          <w:rFonts w:ascii="Arial" w:eastAsia="Times New Roman" w:hAnsi="Arial" w:cs="Times New Roman"/>
          <w:sz w:val="20"/>
          <w:szCs w:val="20"/>
          <w:u w:val="single"/>
        </w:rPr>
        <w:t xml:space="preserve"> boundary change to CA 13:</w:t>
      </w:r>
    </w:p>
    <w:p w:rsidR="00A82C7F" w:rsidRPr="00A82C7F" w:rsidRDefault="00A82C7F" w:rsidP="00A82C7F">
      <w:pPr>
        <w:numPr>
          <w:ilvl w:val="0"/>
          <w:numId w:val="3"/>
        </w:numPr>
        <w:spacing w:before="120" w:after="0" w:line="260" w:lineRule="exact"/>
        <w:rPr>
          <w:rFonts w:ascii="Arial" w:eastAsia="Calibri" w:hAnsi="Arial" w:cs="Arial"/>
          <w:sz w:val="20"/>
          <w:szCs w:val="20"/>
          <w:lang w:val="en-US" w:eastAsia="en-AU"/>
        </w:rPr>
      </w:pPr>
      <w:r w:rsidRPr="00A82C7F">
        <w:rPr>
          <w:rFonts w:ascii="Arial" w:eastAsia="Calibri" w:hAnsi="Arial" w:cs="Arial"/>
          <w:sz w:val="20"/>
          <w:szCs w:val="20"/>
          <w:lang w:val="en-US" w:eastAsia="en-AU"/>
        </w:rPr>
        <w:t xml:space="preserve">Excludes an area of land with no significant native vegetation for a connector road between the </w:t>
      </w:r>
      <w:r w:rsidRPr="00A82C7F">
        <w:rPr>
          <w:rFonts w:ascii="Arial" w:eastAsia="Calibri" w:hAnsi="Arial" w:cs="Times New Roman"/>
          <w:sz w:val="20"/>
          <w:szCs w:val="20"/>
          <w:lang w:val="en-US" w:eastAsia="en-AU"/>
        </w:rPr>
        <w:t xml:space="preserve">Manor Lakes and Quandong </w:t>
      </w:r>
      <w:r w:rsidRPr="00A82C7F">
        <w:rPr>
          <w:rFonts w:ascii="Arial" w:eastAsia="Calibri" w:hAnsi="Arial" w:cs="Times New Roman"/>
          <w:sz w:val="20"/>
          <w:szCs w:val="20"/>
          <w:lang w:val="en-US" w:eastAsia="en-AU"/>
        </w:rPr>
        <w:t>precincts</w:t>
      </w:r>
      <w:r w:rsidRPr="00A82C7F">
        <w:rPr>
          <w:rFonts w:ascii="Arial" w:eastAsia="Calibri" w:hAnsi="Arial" w:cs="Times New Roman"/>
          <w:sz w:val="20"/>
          <w:szCs w:val="20"/>
          <w:lang w:val="en-US" w:eastAsia="en-AU"/>
        </w:rPr>
        <w:t xml:space="preserve">, as identified in the gazette Manor Lakes Precinct Structure Plan. </w:t>
      </w:r>
    </w:p>
    <w:p w:rsidR="00A82C7F" w:rsidRPr="00A82C7F" w:rsidRDefault="00A82C7F" w:rsidP="00A82C7F">
      <w:pPr>
        <w:spacing w:before="120" w:after="0" w:line="260" w:lineRule="exact"/>
        <w:ind w:left="360"/>
        <w:rPr>
          <w:rFonts w:ascii="Arial" w:eastAsia="Calibri" w:hAnsi="Arial" w:cs="Arial"/>
          <w:sz w:val="20"/>
          <w:szCs w:val="20"/>
          <w:lang w:val="en-US" w:eastAsia="en-AU"/>
        </w:rPr>
      </w:pPr>
    </w:p>
    <w:p w:rsidR="00A82C7F" w:rsidRPr="00A82C7F" w:rsidRDefault="00A82C7F" w:rsidP="00A82C7F">
      <w:pPr>
        <w:spacing w:after="113" w:line="240" w:lineRule="atLeast"/>
        <w:rPr>
          <w:rFonts w:ascii="Arial" w:eastAsia="Calibri" w:hAnsi="Arial" w:cs="Arial"/>
          <w:sz w:val="20"/>
          <w:szCs w:val="20"/>
          <w:lang w:val="en-US" w:eastAsia="en-AU"/>
        </w:rPr>
      </w:pPr>
      <w:r w:rsidRPr="00A82C7F">
        <w:rPr>
          <w:rFonts w:ascii="Arial" w:eastAsia="Calibri" w:hAnsi="Arial" w:cs="Arial"/>
          <w:sz w:val="20"/>
          <w:szCs w:val="20"/>
          <w:lang w:val="en-US" w:eastAsia="en-AU"/>
        </w:rPr>
        <w:t xml:space="preserve">DELWP has also identified that future boundary changes may be required to accommodate a north-south road and a Public Acquisition Overlay. Neither have been incorporated into this proposal, and are simply flagged as potentially requiring changes once the location is finalised. </w:t>
      </w:r>
    </w:p>
    <w:p w:rsidR="00A82C7F" w:rsidRPr="00A82C7F" w:rsidRDefault="00A82C7F" w:rsidP="00A82C7F">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sectPr w:rsidR="00A82C7F" w:rsidRPr="00A82C7F" w:rsidSect="006E1C8D">
          <w:type w:val="continuous"/>
          <w:pgSz w:w="11907" w:h="16840" w:code="9"/>
          <w:pgMar w:top="2211" w:right="851" w:bottom="794" w:left="851" w:header="284" w:footer="284" w:gutter="0"/>
          <w:cols w:num="2" w:space="284"/>
          <w:docGrid w:linePitch="360"/>
        </w:sectPr>
      </w:pPr>
    </w:p>
    <w:p w:rsidR="00A82C7F" w:rsidRPr="00A82C7F" w:rsidRDefault="00A82C7F" w:rsidP="00A82C7F">
      <w:pPr>
        <w:spacing w:after="0" w:line="240" w:lineRule="atLeast"/>
        <w:rPr>
          <w:rFonts w:ascii="Arial" w:eastAsia="Times New Roman" w:hAnsi="Arial" w:cs="Arial"/>
          <w:color w:val="363534"/>
          <w:sz w:val="20"/>
          <w:szCs w:val="20"/>
          <w:lang w:eastAsia="en-AU"/>
        </w:rPr>
      </w:pPr>
    </w:p>
    <w:p w:rsidR="00B71133" w:rsidRDefault="00A82C7F">
      <w:r w:rsidRPr="00A82C7F">
        <w:rPr>
          <w:rFonts w:ascii="Arial" w:eastAsia="Times New Roman" w:hAnsi="Arial" w:cs="Arial"/>
          <w:noProof/>
          <w:color w:val="363534"/>
          <w:sz w:val="20"/>
          <w:szCs w:val="20"/>
          <w:lang w:eastAsia="en-A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9.4pt;margin-top:109.5pt;width:630.75pt;height:447pt;z-index:251658240;mso-position-horizontal-relative:page;mso-position-vertical-relative:page;mso-width-relative:page;mso-height-relative:page">
            <v:imagedata r:id="rId13" o:title=""/>
            <w10:wrap type="square" anchorx="page" anchory="page"/>
          </v:shape>
          <o:OLEObject Type="Embed" ProgID="Acrobat.Document.11" ShapeID="_x0000_s1026" DrawAspect="Content" ObjectID="_1588761215" r:id="rId14"/>
        </w:object>
      </w:r>
    </w:p>
    <w:p w:rsidR="00A82C7F" w:rsidRDefault="00A82C7F"/>
    <w:sectPr w:rsidR="00A82C7F" w:rsidSect="00120AEA">
      <w:pgSz w:w="16840" w:h="11907" w:orient="landscape" w:code="9"/>
      <w:pgMar w:top="851" w:right="2211" w:bottom="851" w:left="794"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C7F" w:rsidRDefault="00A82C7F" w:rsidP="00A82C7F">
      <w:pPr>
        <w:spacing w:after="0" w:line="240" w:lineRule="auto"/>
      </w:pPr>
      <w:r>
        <w:separator/>
      </w:r>
    </w:p>
  </w:endnote>
  <w:endnote w:type="continuationSeparator" w:id="0">
    <w:p w:rsidR="00A82C7F" w:rsidRDefault="00A82C7F" w:rsidP="00A82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B5221E" w:rsidRDefault="00E76914" w:rsidP="00E97294">
    <w:pPr>
      <w:pStyle w:val="FooterEven"/>
    </w:pPr>
    <w:r w:rsidRPr="00D55628">
      <w:rPr>
        <w:noProof/>
      </w:rPr>
      <mc:AlternateContent>
        <mc:Choice Requires="wps">
          <w:drawing>
            <wp:anchor distT="0" distB="0" distL="114300" distR="114300" simplePos="0" relativeHeight="251659264" behindDoc="1" locked="1" layoutInCell="1" allowOverlap="1" wp14:anchorId="6DFD84FF" wp14:editId="31E40F7E">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E7691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FD84FF"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E7691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E76914" w:rsidP="00213C82">
    <w:pPr>
      <w:pStyle w:val="Footer"/>
    </w:pPr>
    <w:r w:rsidRPr="00D55628">
      <w:rPr>
        <w:noProof/>
      </w:rPr>
      <mc:AlternateContent>
        <mc:Choice Requires="wps">
          <w:drawing>
            <wp:anchor distT="0" distB="0" distL="114300" distR="114300" simplePos="0" relativeHeight="251660288" behindDoc="1" locked="1" layoutInCell="1" allowOverlap="1" wp14:anchorId="15331B22" wp14:editId="64A4B054">
              <wp:simplePos x="0" y="0"/>
              <wp:positionH relativeFrom="page">
                <wp:align>center</wp:align>
              </wp:positionH>
              <wp:positionV relativeFrom="page">
                <wp:align>center</wp:align>
              </wp:positionV>
              <wp:extent cx="7559675" cy="208280"/>
              <wp:effectExtent l="0" t="0" r="0" b="127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08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E7691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331B22" id="_x0000_t202" coordsize="21600,21600" o:spt="202" path="m,l,21600r21600,l21600,xe">
              <v:stroke joinstyle="miter"/>
              <v:path gradientshapeok="t" o:connecttype="rect"/>
            </v:shapetype>
            <v:shape id="_x0000_s1027" type="#_x0000_t202" alt="Title: Background Watermark Image" style="position:absolute;margin-left:0;margin-top:0;width:595.25pt;height:16.4pt;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" filled="f" stroked="f">
              <v:textbox>
                <w:txbxContent>
                  <w:p w:rsidR="00A209C4" w:rsidRPr="0001226A" w:rsidRDefault="00E7691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E76914" w:rsidP="00BF3066">
    <w:pPr>
      <w:pStyle w:val="Footer"/>
      <w:spacing w:before="1600"/>
    </w:pPr>
    <w:r>
      <w:rPr>
        <w:noProof/>
        <w:sz w:val="18"/>
      </w:rPr>
      <mc:AlternateContent>
        <mc:Choice Requires="wps">
          <w:drawing>
            <wp:anchor distT="0" distB="0" distL="114300" distR="114300" simplePos="0" relativeHeight="251666432" behindDoc="0" locked="1" layoutInCell="1" allowOverlap="1" wp14:anchorId="3BF20AC9" wp14:editId="4F94905E">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txbx>
                      <w:txbxContent>
                        <w:p w:rsidR="00A209C4" w:rsidRPr="009F69FA" w:rsidRDefault="00E7691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20AC9" id="_x0000_t202" coordsize="21600,21600" o:spt="202" path="m,l,21600r21600,l21600,xe">
              <v:stroke joinstyle="miter"/>
              <v:path gradientshapeok="t" o:connecttype="rect"/>
            </v:shapetype>
            <v:shape id="WebAddress" o:spid="_x0000_s1028" type="#_x0000_t202" style="position:absolute;margin-left:0;margin-top:0;width:303pt;height:56.7pt;z-index:25166643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" filled="f" stroked="f" strokeweight=".5pt">
              <v:textbox inset="15mm">
                <w:txbxContent>
                  <w:p w:rsidR="00A209C4" w:rsidRPr="009F69FA" w:rsidRDefault="00E7691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65408" behindDoc="1" locked="1" layoutInCell="1" allowOverlap="1" wp14:anchorId="11734DB4" wp14:editId="0F78A6EB">
          <wp:simplePos x="0" y="0"/>
          <wp:positionH relativeFrom="page">
            <wp:align>right</wp:align>
          </wp:positionH>
          <wp:positionV relativeFrom="page">
            <wp:align>bottom</wp:align>
          </wp:positionV>
          <wp:extent cx="2422800" cy="1083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C7F" w:rsidRDefault="00A82C7F" w:rsidP="00A82C7F">
      <w:pPr>
        <w:spacing w:after="0" w:line="240" w:lineRule="auto"/>
      </w:pPr>
      <w:r>
        <w:separator/>
      </w:r>
    </w:p>
  </w:footnote>
  <w:footnote w:type="continuationSeparator" w:id="0">
    <w:p w:rsidR="00A82C7F" w:rsidRDefault="00A82C7F" w:rsidP="00A82C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209C4" w:rsidRPr="00975ED3" w:rsidTr="00920652">
      <w:trPr>
        <w:trHeight w:hRule="exact" w:val="1418"/>
      </w:trPr>
      <w:tc>
        <w:tcPr>
          <w:tcW w:w="7761" w:type="dxa"/>
          <w:vAlign w:val="center"/>
        </w:tcPr>
        <w:p w:rsidR="00A209C4" w:rsidRPr="00975ED3" w:rsidRDefault="00E76914" w:rsidP="00920652">
          <w:pPr>
            <w:pStyle w:val="Header"/>
          </w:pPr>
          <w:r>
            <w:fldChar w:fldCharType="begin"/>
          </w:r>
          <w:r>
            <w:instrText xml:space="preserve"> STYLEREF  Title  \* MERGEFORMAT </w:instrText>
          </w:r>
          <w:r>
            <w:fldChar w:fldCharType="separate"/>
          </w:r>
          <w:r>
            <w:rPr>
              <w:noProof/>
            </w:rPr>
            <w:t>Notice of Proposed Boundary Change</w:t>
          </w:r>
          <w:r>
            <w:rPr>
              <w:noProof/>
            </w:rPr>
            <w:fldChar w:fldCharType="end"/>
          </w:r>
        </w:p>
      </w:tc>
    </w:tr>
  </w:tbl>
  <w:p w:rsidR="00A209C4" w:rsidRPr="00E97294" w:rsidRDefault="00E76914" w:rsidP="00435833">
    <w:pPr>
      <w:pStyle w:val="Header"/>
    </w:pPr>
    <w:r w:rsidRPr="00806AB6">
      <w:rPr>
        <w:noProof/>
      </w:rPr>
      <mc:AlternateContent>
        <mc:Choice Requires="wps">
          <w:drawing>
            <wp:anchor distT="0" distB="0" distL="114300" distR="114300" simplePos="0" relativeHeight="251669504" behindDoc="1" locked="0" layoutInCell="1" allowOverlap="1" wp14:anchorId="64C5BF05" wp14:editId="113E0F2A">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rgbClr val="201547"/>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44BEBC" id="TriangleRight" o:spid="_x0000_s1026" style="position:absolute;margin-left:56.7pt;margin-top:22.7pt;width:68.05pt;height:70.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" path="m1339,1419l669,,,1419r1339,xe" fillcolor="#201547"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8480" behindDoc="1" locked="0" layoutInCell="1" allowOverlap="1" wp14:anchorId="14D88AC3" wp14:editId="52501FC6">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rgbClr val="CDDC2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797446" id="TriangleLeft" o:spid="_x0000_s1026" style="position:absolute;margin-left:22.7pt;margin-top:22.7pt;width:68.05pt;height:70.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" path="m,l665,1419,1334,,,xe" fillcolor="#cddc29"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7456" behindDoc="1" locked="0" layoutInCell="1" allowOverlap="1" wp14:anchorId="66DFCCF6" wp14:editId="32C6F7FF">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rgbClr val="00B2A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78D994E" id="Rectangle" o:spid="_x0000_s1026" style="position:absolute;margin-left:22.7pt;margin-top:22.7pt;width:552.7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" fillcolor="#00b2a9" stroked="f">
              <w10:wrap anchorx="page" anchory="page"/>
            </v:rect>
          </w:pict>
        </mc:Fallback>
      </mc:AlternateContent>
    </w:r>
  </w:p>
  <w:p w:rsidR="00A209C4" w:rsidRDefault="00E769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C7F" w:rsidRDefault="00A82C7F">
    <w:r w:rsidRPr="00806AB6">
      <w:rPr>
        <w:noProof/>
      </w:rPr>
      <mc:AlternateContent>
        <mc:Choice Requires="wps">
          <w:drawing>
            <wp:anchor distT="0" distB="0" distL="114300" distR="114300" simplePos="0" relativeHeight="251670528" behindDoc="1" locked="0" layoutInCell="1" allowOverlap="1" wp14:anchorId="41B0BC22" wp14:editId="342E4443">
              <wp:simplePos x="0" y="0"/>
              <wp:positionH relativeFrom="page">
                <wp:posOffset>285750</wp:posOffset>
              </wp:positionH>
              <wp:positionV relativeFrom="page">
                <wp:posOffset>285750</wp:posOffset>
              </wp:positionV>
              <wp:extent cx="10201275" cy="1019175"/>
              <wp:effectExtent l="0" t="0" r="9525" b="9525"/>
              <wp:wrapNone/>
              <wp:docPr id="1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01275" cy="1019175"/>
                      </a:xfrm>
                      <a:prstGeom prst="rect">
                        <a:avLst/>
                      </a:prstGeom>
                      <a:solidFill>
                        <a:srgbClr val="00B2A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6087064" id="Rectangle" o:spid="_x0000_s1026" style="position:absolute;margin-left:22.5pt;margin-top:22.5pt;width:803.25pt;height:80.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" fillcolor="#00b2a9" stroked="f">
              <w10:wrap anchorx="page" anchory="page"/>
            </v:rect>
          </w:pict>
        </mc:Fallback>
      </mc:AlternateContent>
    </w:r>
  </w:p>
  <w:p w:rsidR="00A82C7F" w:rsidRDefault="00A82C7F"/>
  <w:tbl>
    <w:tblPr>
      <w:tblpPr w:leftFromText="181" w:rightFromText="181" w:vertAnchor="page" w:horzAnchor="page" w:tblpX="3136" w:tblpY="455"/>
      <w:tblOverlap w:val="never"/>
      <w:tblW w:w="0" w:type="auto"/>
      <w:tblLayout w:type="fixed"/>
      <w:tblCellMar>
        <w:left w:w="0" w:type="dxa"/>
        <w:right w:w="0" w:type="dxa"/>
      </w:tblCellMar>
      <w:tblLook w:val="04A0" w:firstRow="1" w:lastRow="0" w:firstColumn="1" w:lastColumn="0" w:noHBand="0" w:noVBand="1"/>
    </w:tblPr>
    <w:tblGrid>
      <w:gridCol w:w="7761"/>
    </w:tblGrid>
    <w:tr w:rsidR="00A82C7F" w:rsidRPr="00975ED3" w:rsidTr="00A82C7F">
      <w:trPr>
        <w:trHeight w:hRule="exact" w:val="1418"/>
      </w:trPr>
      <w:tc>
        <w:tcPr>
          <w:tcW w:w="7761" w:type="dxa"/>
        </w:tcPr>
        <w:p w:rsidR="00A82C7F" w:rsidRDefault="00A82C7F" w:rsidP="00A82C7F">
          <w:pPr>
            <w:rPr>
              <w:rFonts w:ascii="Arial" w:eastAsia="MingLiU" w:hAnsi="Arial" w:cs="Times New Roman"/>
              <w:b/>
              <w:color w:val="FFFFFF"/>
              <w:spacing w:val="-2"/>
              <w:sz w:val="40"/>
              <w:szCs w:val="52"/>
              <w:lang w:eastAsia="en-AU"/>
            </w:rPr>
          </w:pPr>
        </w:p>
        <w:p w:rsidR="00A82C7F" w:rsidRDefault="00A82C7F" w:rsidP="00A82C7F">
          <w:pPr>
            <w:rPr>
              <w:rFonts w:ascii="Arial" w:eastAsia="MingLiU" w:hAnsi="Arial" w:cs="Times New Roman"/>
              <w:b/>
              <w:color w:val="FFFFFF"/>
              <w:spacing w:val="-2"/>
              <w:sz w:val="40"/>
              <w:szCs w:val="52"/>
              <w:lang w:eastAsia="en-AU"/>
            </w:rPr>
          </w:pPr>
          <w:r w:rsidRPr="00C9463F">
            <w:rPr>
              <w:rFonts w:ascii="Arial" w:eastAsia="MingLiU" w:hAnsi="Arial" w:cs="Times New Roman"/>
              <w:b/>
              <w:color w:val="FFFFFF"/>
              <w:spacing w:val="-2"/>
              <w:sz w:val="40"/>
              <w:szCs w:val="52"/>
              <w:lang w:eastAsia="en-AU"/>
            </w:rPr>
            <w:t>Notice of Approved</w:t>
          </w:r>
          <w:r w:rsidRPr="00A82C7F">
            <w:rPr>
              <w:rFonts w:ascii="Arial" w:eastAsia="MingLiU" w:hAnsi="Arial" w:cs="Times New Roman"/>
              <w:b/>
              <w:color w:val="FFFFFF"/>
              <w:spacing w:val="-2"/>
              <w:sz w:val="40"/>
              <w:szCs w:val="52"/>
              <w:lang w:eastAsia="en-AU"/>
            </w:rPr>
            <w:t xml:space="preserve"> Boundary Change</w:t>
          </w:r>
        </w:p>
        <w:p w:rsidR="00A82C7F" w:rsidRDefault="00A82C7F" w:rsidP="00A82C7F">
          <w:pPr>
            <w:rPr>
              <w:rFonts w:ascii="Arial" w:eastAsia="MingLiU" w:hAnsi="Arial" w:cs="Times New Roman"/>
              <w:b/>
              <w:color w:val="FFFFFF"/>
              <w:spacing w:val="-2"/>
              <w:sz w:val="40"/>
              <w:szCs w:val="52"/>
              <w:lang w:eastAsia="en-AU"/>
            </w:rPr>
          </w:pPr>
        </w:p>
        <w:p w:rsidR="00A82C7F" w:rsidRDefault="00A82C7F" w:rsidP="00A82C7F"/>
      </w:tc>
    </w:tr>
  </w:tbl>
  <w:p w:rsidR="00AF69BF" w:rsidRPr="00E97294" w:rsidRDefault="00E76914" w:rsidP="00AF69BF">
    <w:pPr>
      <w:pStyle w:val="Header"/>
    </w:pPr>
    <w:r w:rsidRPr="00806AB6">
      <w:rPr>
        <w:noProof/>
      </w:rPr>
      <mc:AlternateContent>
        <mc:Choice Requires="wps">
          <w:drawing>
            <wp:anchor distT="0" distB="0" distL="114300" distR="114300" simplePos="0" relativeHeight="251672576" behindDoc="1" locked="0" layoutInCell="1" allowOverlap="1" wp14:anchorId="1624CA6E" wp14:editId="1C769ACE">
              <wp:simplePos x="0" y="0"/>
              <wp:positionH relativeFrom="page">
                <wp:posOffset>720090</wp:posOffset>
              </wp:positionH>
              <wp:positionV relativeFrom="page">
                <wp:posOffset>288290</wp:posOffset>
              </wp:positionV>
              <wp:extent cx="864000" cy="900000"/>
              <wp:effectExtent l="0" t="0" r="0" b="0"/>
              <wp:wrapNone/>
              <wp:docPr id="4"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rgbClr val="201547"/>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C7F773" id="TriangleRight" o:spid="_x0000_s1026" style="position:absolute;margin-left:56.7pt;margin-top:22.7pt;width:68.05pt;height:70.8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" path="m1339,1419l669,,,1419r1339,xe" fillcolor="#201547"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71552" behindDoc="1" locked="0" layoutInCell="1" allowOverlap="1" wp14:anchorId="0D1D9732" wp14:editId="433E2225">
              <wp:simplePos x="0" y="0"/>
              <wp:positionH relativeFrom="page">
                <wp:posOffset>288290</wp:posOffset>
              </wp:positionH>
              <wp:positionV relativeFrom="page">
                <wp:posOffset>288290</wp:posOffset>
              </wp:positionV>
              <wp:extent cx="864000" cy="900000"/>
              <wp:effectExtent l="0" t="0" r="0" b="0"/>
              <wp:wrapNone/>
              <wp:docPr id="5"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rgbClr val="CDDC2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6C51FE" id="TriangleLeft" o:spid="_x0000_s1026" style="position:absolute;margin-left:22.7pt;margin-top:22.7pt;width:68.05pt;height:70.8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" path="m,l665,1419,1334,,,xe" fillcolor="#cddc29" stroked="f">
              <v:path arrowok="t" o:connecttype="custom" o:connectlocs="0,0;430705,900000;864000,0;0,0" o:connectangles="0,0,0,0"/>
              <w10:wrap anchorx="page" anchory="page"/>
            </v:shape>
          </w:pict>
        </mc:Fallback>
      </mc:AlternateContent>
    </w:r>
  </w:p>
  <w:p w:rsidR="00AF69BF" w:rsidRDefault="00E76914" w:rsidP="00AF69BF">
    <w:pPr>
      <w:pStyle w:val="Header"/>
    </w:pPr>
  </w:p>
  <w:p w:rsidR="00253752" w:rsidRDefault="00E769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E97294" w:rsidRDefault="00E76914" w:rsidP="00E97294">
    <w:pPr>
      <w:pStyle w:val="Header"/>
    </w:pPr>
    <w:r w:rsidRPr="00806AB6">
      <w:rPr>
        <w:noProof/>
      </w:rPr>
      <mc:AlternateContent>
        <mc:Choice Requires="wps">
          <w:drawing>
            <wp:anchor distT="0" distB="0" distL="114300" distR="114300" simplePos="0" relativeHeight="251663360" behindDoc="1" locked="0" layoutInCell="1" allowOverlap="1" wp14:anchorId="1D0D8393" wp14:editId="2A7D57F3">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rgbClr val="201547"/>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480A08" id="TriangleRight" o:spid="_x0000_s1026" style="position:absolute;margin-left:56.7pt;margin-top:22.7pt;width:68.0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" path="m1339,1419l669,,,1419r1339,xe" fillcolor="#201547"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4384" behindDoc="1" locked="0" layoutInCell="1" allowOverlap="1" wp14:anchorId="25A3CBF0" wp14:editId="17D374AE">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rgbClr val="E9EEAE"/>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5238B" id="TriangleBottom" o:spid="_x0000_s1026" style="position:absolute;margin-left:56.7pt;margin-top:93.55pt;width:68.05pt;height:70.8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" path="m,l669,1415,1339,,,xe" fillcolor="#e9eeae"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62336" behindDoc="1" locked="0" layoutInCell="1" allowOverlap="1" wp14:anchorId="262FFD6C" wp14:editId="1A19D348">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rgbClr val="CDDC2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1C16CF" id="TriangleLeft" o:spid="_x0000_s1026" style="position:absolute;margin-left:22.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" path="m,l665,1419,1334,,,xe" fillcolor="#cddc29"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1312" behindDoc="1" locked="0" layoutInCell="1" allowOverlap="1" wp14:anchorId="6BCB29BA" wp14:editId="6C0CA3BA">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rgbClr val="00B2A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83D2263" id="Rectangle" o:spid="_x0000_s1026" style="position:absolute;margin-left:22.7pt;margin-top:22.7pt;width:552.7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" fillcolor="#00b2a9"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C0D1C"/>
    <w:multiLevelType w:val="hybridMultilevel"/>
    <w:tmpl w:val="57AE452C"/>
    <w:lvl w:ilvl="0" w:tplc="0C090005">
      <w:start w:val="1"/>
      <w:numFmt w:val="bullet"/>
      <w:lvlText w:val=""/>
      <w:lvlJc w:val="left"/>
      <w:pPr>
        <w:ind w:left="360" w:hanging="360"/>
      </w:pPr>
      <w:rPr>
        <w:rFonts w:ascii="Wingdings" w:hAnsi="Wingdings" w:hint="default"/>
      </w:rPr>
    </w:lvl>
    <w:lvl w:ilvl="1" w:tplc="0C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28347F74"/>
    <w:multiLevelType w:val="hybridMultilevel"/>
    <w:tmpl w:val="BA026A5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41243817"/>
    <w:multiLevelType w:val="hybridMultilevel"/>
    <w:tmpl w:val="19401E1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594B6469"/>
    <w:multiLevelType w:val="hybridMultilevel"/>
    <w:tmpl w:val="C748A1F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C7F"/>
    <w:rsid w:val="00255178"/>
    <w:rsid w:val="005F2C22"/>
    <w:rsid w:val="00A82C7F"/>
    <w:rsid w:val="00B71133"/>
    <w:rsid w:val="00E769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DDF03"/>
  <w15:chartTrackingRefBased/>
  <w15:docId w15:val="{F45AC619-5012-4B34-BA78-723BCE5C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82C7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82C7F"/>
  </w:style>
  <w:style w:type="paragraph" w:styleId="Footer">
    <w:name w:val="footer"/>
    <w:basedOn w:val="Normal"/>
    <w:link w:val="FooterChar"/>
    <w:uiPriority w:val="99"/>
    <w:semiHidden/>
    <w:unhideWhenUsed/>
    <w:rsid w:val="00A82C7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82C7F"/>
  </w:style>
  <w:style w:type="table" w:customStyle="1" w:styleId="TableGrid1">
    <w:name w:val="Table Grid1"/>
    <w:basedOn w:val="TableNormal"/>
    <w:next w:val="TableGrid"/>
    <w:rsid w:val="00A82C7F"/>
    <w:pPr>
      <w:spacing w:before="60" w:after="60" w:line="220" w:lineRule="atLeast"/>
      <w:ind w:left="113" w:right="113"/>
    </w:pPr>
    <w:rPr>
      <w:rFonts w:eastAsia="Times New Roman" w:cs="Times New Roman"/>
      <w:color w:val="363534"/>
      <w:sz w:val="18"/>
      <w:szCs w:val="20"/>
      <w:lang w:eastAsia="en-AU"/>
    </w:rPr>
    <w:tblPr>
      <w:tblStyleColBandSize w:val="1"/>
      <w:tblBorders>
        <w:top w:val="single" w:sz="8" w:space="0" w:color="CDDC29"/>
        <w:bottom w:val="single" w:sz="8" w:space="0" w:color="CDDC29"/>
        <w:insideH w:val="single" w:sz="8" w:space="0" w:color="CDDC29"/>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Arial" w:hAnsi="Arial"/>
        <w:b w:val="0"/>
        <w:color w:val="363534"/>
        <w:sz w:val="18"/>
      </w:rPr>
      <w:tblPr/>
      <w:tcPr>
        <w:shd w:val="clear" w:color="auto" w:fill="CDDC29"/>
      </w:tcPr>
    </w:tblStylePr>
    <w:tblStylePr w:type="lastRow">
      <w:rPr>
        <w:b w:val="0"/>
      </w:rPr>
    </w:tblStylePr>
    <w:tblStylePr w:type="lastCol">
      <w:pPr>
        <w:jc w:val="left"/>
      </w:pPr>
    </w:tblStylePr>
    <w:tblStylePr w:type="band1Vert">
      <w:tblPr/>
      <w:tcPr>
        <w:shd w:val="clear" w:color="auto" w:fill="F8FAE8"/>
      </w:tcPr>
    </w:tblStylePr>
    <w:tblStylePr w:type="nwCell">
      <w:pPr>
        <w:jc w:val="left"/>
      </w:pPr>
      <w:tblPr/>
      <w:tcPr>
        <w:vAlign w:val="center"/>
      </w:tcPr>
    </w:tblStylePr>
  </w:style>
  <w:style w:type="paragraph" w:customStyle="1" w:styleId="FooterEven">
    <w:name w:val="Footer Even"/>
    <w:next w:val="Footer"/>
    <w:semiHidden/>
    <w:rsid w:val="00A82C7F"/>
    <w:pPr>
      <w:spacing w:after="0" w:line="200" w:lineRule="atLeast"/>
    </w:pPr>
    <w:rPr>
      <w:rFonts w:eastAsia="Times New Roman" w:cs="Arial"/>
      <w:color w:val="363534"/>
      <w:sz w:val="16"/>
      <w:szCs w:val="20"/>
      <w:lang w:eastAsia="en-AU"/>
    </w:rPr>
  </w:style>
  <w:style w:type="paragraph" w:customStyle="1" w:styleId="xStatus">
    <w:name w:val="xStatus"/>
    <w:basedOn w:val="Normal"/>
    <w:uiPriority w:val="3"/>
    <w:semiHidden/>
    <w:rsid w:val="00A82C7F"/>
    <w:pPr>
      <w:tabs>
        <w:tab w:val="left" w:pos="1134"/>
        <w:tab w:val="left" w:pos="2268"/>
        <w:tab w:val="left" w:pos="3402"/>
        <w:tab w:val="left" w:pos="4536"/>
        <w:tab w:val="left" w:pos="5103"/>
      </w:tabs>
      <w:spacing w:after="0" w:line="240" w:lineRule="auto"/>
      <w:jc w:val="center"/>
    </w:pPr>
    <w:rPr>
      <w:rFonts w:eastAsia="Times New Roman" w:cs="Arial"/>
      <w:caps/>
      <w:color w:val="EAEAEA"/>
      <w:spacing w:val="40"/>
      <w:sz w:val="120"/>
      <w:szCs w:val="24"/>
      <w:lang w:eastAsia="en-AU"/>
    </w:rPr>
  </w:style>
  <w:style w:type="paragraph" w:customStyle="1" w:styleId="xWeb">
    <w:name w:val="xWeb"/>
    <w:basedOn w:val="Normal"/>
    <w:qFormat/>
    <w:rsid w:val="00A82C7F"/>
    <w:pPr>
      <w:spacing w:after="0" w:line="240" w:lineRule="auto"/>
    </w:pPr>
    <w:rPr>
      <w:rFonts w:eastAsia="Times New Roman" w:cs="Arial"/>
      <w:b/>
      <w:color w:val="00B2A9"/>
      <w:spacing w:val="-4"/>
      <w:sz w:val="25"/>
      <w:szCs w:val="42"/>
      <w:lang w:eastAsia="en-AU"/>
    </w:rPr>
  </w:style>
  <w:style w:type="table" w:customStyle="1" w:styleId="DELWPTableNormal">
    <w:name w:val="DELWP Table Normal"/>
    <w:basedOn w:val="TableNormal"/>
    <w:uiPriority w:val="99"/>
    <w:rsid w:val="00A82C7F"/>
    <w:pPr>
      <w:spacing w:after="0" w:line="240" w:lineRule="auto"/>
    </w:pPr>
    <w:rPr>
      <w:rFonts w:eastAsia="Times New Roman" w:cs="Arial"/>
      <w:color w:val="363534"/>
      <w:sz w:val="20"/>
      <w:szCs w:val="20"/>
      <w:lang w:eastAsia="en-AU"/>
    </w:rPr>
    <w:tblPr/>
  </w:style>
  <w:style w:type="table" w:styleId="TableGrid">
    <w:name w:val="Table Grid"/>
    <w:basedOn w:val="TableNormal"/>
    <w:uiPriority w:val="39"/>
    <w:rsid w:val="00A82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2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Polly Edwards (DELWP)</dc:creator>
  <cp:keywords/>
  <dc:description/>
  <cp:lastModifiedBy>Polly Edwards (DELWP)</cp:lastModifiedBy>
  <cp:revision>1</cp:revision>
  <dcterms:created xsi:type="dcterms:W3CDTF">2018-05-25T03:19:00Z</dcterms:created>
  <dcterms:modified xsi:type="dcterms:W3CDTF">2018-05-25T03:47:00Z</dcterms:modified>
</cp:coreProperties>
</file>