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FB0" w:rsidRDefault="00444B2B" w:rsidP="004A0FB0">
      <w:pPr>
        <w:pStyle w:val="ListBullet"/>
        <w:numPr>
          <w:ilvl w:val="0"/>
          <w:numId w:val="0"/>
        </w:numPr>
        <w:spacing w:after="120" w:line="264" w:lineRule="auto"/>
        <w:contextualSpacing w:val="0"/>
        <w:rPr>
          <w:b/>
          <w:sz w:val="22"/>
          <w:szCs w:val="22"/>
        </w:rPr>
      </w:pPr>
    </w:p>
    <w:p w:rsidR="004A0FB0" w:rsidRPr="00425C96" w:rsidRDefault="00677C6A" w:rsidP="004A0FB0">
      <w:pPr>
        <w:pStyle w:val="ListBullet"/>
        <w:numPr>
          <w:ilvl w:val="0"/>
          <w:numId w:val="0"/>
        </w:numPr>
        <w:spacing w:after="240" w:line="264" w:lineRule="auto"/>
        <w:ind w:left="-284" w:right="-285"/>
        <w:contextualSpacing w:val="0"/>
        <w:rPr>
          <w:b/>
          <w:sz w:val="22"/>
          <w:szCs w:val="22"/>
        </w:rPr>
      </w:pPr>
      <w:r w:rsidRPr="00425C96">
        <w:rPr>
          <w:b/>
          <w:sz w:val="22"/>
          <w:szCs w:val="22"/>
        </w:rPr>
        <w:t xml:space="preserve">APPROVAL DECISION FOR THE TAKING OF ACTIONS IN ACCORDANCE WITH AN ENDORSED PROGRAM UNDER THE </w:t>
      </w:r>
      <w:r w:rsidRPr="00425C96">
        <w:rPr>
          <w:b/>
          <w:i/>
          <w:sz w:val="22"/>
          <w:szCs w:val="22"/>
        </w:rPr>
        <w:t>ENVIRONMENT PROTECTION AND BIODIVERSITY CONSERVATION ACT 1999</w:t>
      </w:r>
      <w:r w:rsidRPr="00425C96">
        <w:rPr>
          <w:b/>
          <w:sz w:val="22"/>
          <w:szCs w:val="22"/>
        </w:rPr>
        <w:t xml:space="preserve"> (EPBC ACT)</w:t>
      </w:r>
    </w:p>
    <w:p w:rsidR="004A0FB0" w:rsidRDefault="00677C6A" w:rsidP="004A0FB0">
      <w:pPr>
        <w:spacing w:after="120" w:line="264" w:lineRule="auto"/>
        <w:ind w:left="-284" w:right="-289"/>
        <w:rPr>
          <w:rFonts w:cs="Arial"/>
          <w:b/>
          <w:sz w:val="22"/>
          <w:szCs w:val="24"/>
        </w:rPr>
      </w:pPr>
      <w:r>
        <w:rPr>
          <w:rFonts w:cs="Arial"/>
          <w:b/>
          <w:sz w:val="22"/>
          <w:szCs w:val="24"/>
        </w:rPr>
        <w:t>FINAL APPROVAL FOR URBAN DEVELOPMENTS IN MELBOURNE’S SOUTH-EASTERN GROWTH CORRIDOR UNDER THE MELBOURNE URBAN GROWTH PROGRAM STRATEGIC ASSESSMENT</w:t>
      </w:r>
    </w:p>
    <w:p w:rsidR="004A0FB0" w:rsidRPr="0017795D" w:rsidRDefault="00677C6A" w:rsidP="004A0FB0">
      <w:pPr>
        <w:spacing w:after="240" w:line="264" w:lineRule="auto"/>
        <w:ind w:left="-284" w:right="-284"/>
        <w:rPr>
          <w:rFonts w:cs="Arial"/>
          <w:sz w:val="22"/>
          <w:szCs w:val="24"/>
          <w:lang w:eastAsia="en-AU"/>
        </w:rPr>
      </w:pPr>
      <w:r>
        <w:rPr>
          <w:rFonts w:cs="Arial"/>
          <w:sz w:val="22"/>
          <w:szCs w:val="24"/>
          <w:lang w:eastAsia="en-AU"/>
        </w:rPr>
        <w:t xml:space="preserve">This approval decision is for actions falling within the specified class of actions below. Conditions of approval are at </w:t>
      </w:r>
      <w:r w:rsidRPr="00865F52">
        <w:rPr>
          <w:rFonts w:cs="Arial"/>
          <w:sz w:val="22"/>
          <w:szCs w:val="24"/>
          <w:u w:val="single"/>
          <w:lang w:eastAsia="en-AU"/>
        </w:rPr>
        <w:t>Annexure 1</w:t>
      </w:r>
      <w:r>
        <w:rPr>
          <w:rFonts w:cs="Arial"/>
          <w:sz w:val="22"/>
          <w:szCs w:val="24"/>
          <w:lang w:eastAsia="en-AU"/>
        </w:rPr>
        <w:t xml:space="preserve">. Further information and explanation is at </w:t>
      </w:r>
      <w:r w:rsidRPr="00865F52">
        <w:rPr>
          <w:rFonts w:cs="Arial"/>
          <w:sz w:val="22"/>
          <w:szCs w:val="24"/>
          <w:u w:val="single"/>
          <w:lang w:eastAsia="en-AU"/>
        </w:rPr>
        <w:t xml:space="preserve">Annexure </w:t>
      </w:r>
      <w:r>
        <w:rPr>
          <w:rFonts w:cs="Arial"/>
          <w:sz w:val="22"/>
          <w:szCs w:val="24"/>
          <w:u w:val="single"/>
          <w:lang w:eastAsia="en-AU"/>
        </w:rPr>
        <w:t>2</w:t>
      </w:r>
      <w:r>
        <w:rPr>
          <w:rFonts w:cs="Arial"/>
          <w:sz w:val="22"/>
          <w:szCs w:val="24"/>
          <w:lang w:eastAsia="en-AU"/>
        </w:rPr>
        <w:t xml:space="preserve">. </w:t>
      </w:r>
    </w:p>
    <w:tbl>
      <w:tblPr>
        <w:tblW w:w="9782" w:type="dxa"/>
        <w:tblInd w:w="-176" w:type="dxa"/>
        <w:tblBorders>
          <w:top w:val="single" w:sz="4" w:space="0" w:color="auto"/>
          <w:bottom w:val="single" w:sz="4" w:space="0" w:color="auto"/>
          <w:insideH w:val="single" w:sz="4" w:space="0" w:color="auto"/>
        </w:tblBorders>
        <w:tblLayout w:type="fixed"/>
        <w:tblCellMar>
          <w:top w:w="113" w:type="dxa"/>
          <w:bottom w:w="113" w:type="dxa"/>
        </w:tblCellMar>
        <w:tblLook w:val="01E0"/>
      </w:tblPr>
      <w:tblGrid>
        <w:gridCol w:w="1418"/>
        <w:gridCol w:w="8364"/>
      </w:tblGrid>
      <w:tr w:rsidR="00FA437F" w:rsidTr="004A0FB0">
        <w:tc>
          <w:tcPr>
            <w:tcW w:w="1418" w:type="dxa"/>
          </w:tcPr>
          <w:p w:rsidR="004A0FB0" w:rsidRPr="00583FC7" w:rsidRDefault="00677C6A" w:rsidP="004A0FB0">
            <w:pPr>
              <w:pStyle w:val="tablelabel"/>
              <w:spacing w:after="120" w:line="264" w:lineRule="auto"/>
              <w:rPr>
                <w:rFonts w:cs="Arial"/>
                <w:sz w:val="22"/>
                <w:szCs w:val="24"/>
              </w:rPr>
            </w:pPr>
            <w:r>
              <w:rPr>
                <w:rFonts w:cs="Arial"/>
                <w:sz w:val="22"/>
                <w:szCs w:val="24"/>
              </w:rPr>
              <w:t xml:space="preserve">Approved </w:t>
            </w:r>
            <w:r w:rsidRPr="00583FC7">
              <w:rPr>
                <w:rFonts w:cs="Arial"/>
                <w:sz w:val="22"/>
                <w:szCs w:val="24"/>
              </w:rPr>
              <w:t>class of actions</w:t>
            </w:r>
          </w:p>
        </w:tc>
        <w:tc>
          <w:tcPr>
            <w:tcW w:w="8364" w:type="dxa"/>
          </w:tcPr>
          <w:p w:rsidR="004A0FB0" w:rsidRPr="00F22877" w:rsidRDefault="00677C6A" w:rsidP="004A0FB0">
            <w:pPr>
              <w:pStyle w:val="ListNumber"/>
              <w:spacing w:after="120" w:line="264" w:lineRule="auto"/>
              <w:ind w:left="34"/>
              <w:rPr>
                <w:sz w:val="22"/>
                <w:szCs w:val="22"/>
              </w:rPr>
            </w:pPr>
            <w:r w:rsidRPr="002D2494">
              <w:rPr>
                <w:sz w:val="22"/>
                <w:szCs w:val="22"/>
              </w:rPr>
              <w:t>All actions associ</w:t>
            </w:r>
            <w:r>
              <w:rPr>
                <w:sz w:val="22"/>
                <w:szCs w:val="22"/>
              </w:rPr>
              <w:t>ated with urban development in the south-eastern growth c</w:t>
            </w:r>
            <w:r w:rsidRPr="002D2494">
              <w:rPr>
                <w:sz w:val="22"/>
                <w:szCs w:val="22"/>
              </w:rPr>
              <w:t>orridor (</w:t>
            </w:r>
            <w:r>
              <w:rPr>
                <w:sz w:val="22"/>
                <w:szCs w:val="22"/>
              </w:rPr>
              <w:t xml:space="preserve">Casey and Cardinia) </w:t>
            </w:r>
            <w:r w:rsidRPr="002D2494">
              <w:rPr>
                <w:sz w:val="22"/>
                <w:szCs w:val="22"/>
              </w:rPr>
              <w:t>in the expanded Melbourne</w:t>
            </w:r>
            <w:r>
              <w:rPr>
                <w:sz w:val="22"/>
                <w:szCs w:val="22"/>
              </w:rPr>
              <w:t xml:space="preserve"> 2010 Urban Growth Boundary </w:t>
            </w:r>
            <w:r w:rsidRPr="002D2494">
              <w:rPr>
                <w:sz w:val="22"/>
                <w:szCs w:val="22"/>
              </w:rPr>
              <w:t>as described</w:t>
            </w:r>
            <w:r>
              <w:rPr>
                <w:sz w:val="22"/>
                <w:szCs w:val="22"/>
              </w:rPr>
              <w:t xml:space="preserve"> at page 4</w:t>
            </w:r>
            <w:r w:rsidRPr="002D2494">
              <w:rPr>
                <w:sz w:val="22"/>
                <w:szCs w:val="22"/>
              </w:rPr>
              <w:t xml:space="preserve"> in</w:t>
            </w:r>
            <w:r w:rsidRPr="002D2494">
              <w:rPr>
                <w:sz w:val="22"/>
                <w:szCs w:val="22"/>
                <w:lang w:eastAsia="en-AU"/>
              </w:rPr>
              <w:t xml:space="preserve"> the </w:t>
            </w:r>
            <w:r w:rsidRPr="002D2494">
              <w:rPr>
                <w:i/>
                <w:sz w:val="22"/>
                <w:szCs w:val="22"/>
                <w:lang w:eastAsia="en-AU"/>
              </w:rPr>
              <w:t>Biodiversity Conservation Strategy for Melbourne’s Growth Corridors</w:t>
            </w:r>
            <w:r w:rsidRPr="002D2494">
              <w:rPr>
                <w:sz w:val="22"/>
                <w:szCs w:val="22"/>
                <w:lang w:eastAsia="en-AU"/>
              </w:rPr>
              <w:t xml:space="preserve"> (V</w:t>
            </w:r>
            <w:r>
              <w:rPr>
                <w:sz w:val="22"/>
                <w:szCs w:val="22"/>
                <w:lang w:eastAsia="en-AU"/>
              </w:rPr>
              <w:t>ictorian Government Department of Environment and Primary Industries,</w:t>
            </w:r>
            <w:r w:rsidRPr="002D2494">
              <w:rPr>
                <w:sz w:val="22"/>
                <w:szCs w:val="22"/>
                <w:lang w:eastAsia="en-AU"/>
              </w:rPr>
              <w:t xml:space="preserve"> </w:t>
            </w:r>
            <w:r>
              <w:rPr>
                <w:sz w:val="22"/>
                <w:szCs w:val="22"/>
                <w:lang w:eastAsia="en-AU"/>
              </w:rPr>
              <w:t>June 2013</w:t>
            </w:r>
            <w:r w:rsidRPr="002D2494">
              <w:rPr>
                <w:sz w:val="22"/>
                <w:szCs w:val="22"/>
                <w:lang w:eastAsia="en-AU"/>
              </w:rPr>
              <w:t xml:space="preserve">) approved under the </w:t>
            </w:r>
            <w:r>
              <w:rPr>
                <w:sz w:val="22"/>
                <w:szCs w:val="22"/>
                <w:lang w:eastAsia="en-AU"/>
              </w:rPr>
              <w:t>endorsed Program</w:t>
            </w:r>
            <w:r w:rsidRPr="002D2494">
              <w:rPr>
                <w:sz w:val="22"/>
                <w:szCs w:val="22"/>
                <w:lang w:eastAsia="en-AU"/>
              </w:rPr>
              <w:t xml:space="preserve"> </w:t>
            </w:r>
            <w:r>
              <w:rPr>
                <w:sz w:val="22"/>
                <w:szCs w:val="22"/>
                <w:lang w:eastAsia="en-AU"/>
              </w:rPr>
              <w:t xml:space="preserve">- </w:t>
            </w:r>
            <w:r w:rsidRPr="002D2494">
              <w:rPr>
                <w:i/>
                <w:sz w:val="22"/>
                <w:szCs w:val="22"/>
                <w:lang w:eastAsia="en-AU"/>
              </w:rPr>
              <w:t>Delivering Melbourne’s Newest Sustainable Communities</w:t>
            </w:r>
            <w:r w:rsidRPr="002D2494">
              <w:rPr>
                <w:sz w:val="22"/>
                <w:szCs w:val="22"/>
                <w:lang w:eastAsia="en-AU"/>
              </w:rPr>
              <w:t xml:space="preserve"> (Victorian Government, December 2009)</w:t>
            </w:r>
            <w:r>
              <w:rPr>
                <w:sz w:val="22"/>
                <w:szCs w:val="22"/>
              </w:rPr>
              <w:t>.</w:t>
            </w:r>
          </w:p>
        </w:tc>
      </w:tr>
      <w:tr w:rsidR="00FA437F" w:rsidTr="004A0FB0">
        <w:tc>
          <w:tcPr>
            <w:tcW w:w="1418" w:type="dxa"/>
          </w:tcPr>
          <w:p w:rsidR="004A0FB0" w:rsidRPr="00583FC7" w:rsidRDefault="00677C6A" w:rsidP="004A0FB0">
            <w:pPr>
              <w:pStyle w:val="tablelabel"/>
              <w:spacing w:after="120" w:line="264" w:lineRule="auto"/>
              <w:rPr>
                <w:rFonts w:cs="Arial"/>
                <w:sz w:val="22"/>
                <w:szCs w:val="24"/>
              </w:rPr>
            </w:pPr>
            <w:r w:rsidRPr="00583FC7">
              <w:rPr>
                <w:rFonts w:cs="Arial"/>
                <w:sz w:val="22"/>
                <w:szCs w:val="24"/>
              </w:rPr>
              <w:t>Relevant controlling provisions</w:t>
            </w:r>
          </w:p>
        </w:tc>
        <w:tc>
          <w:tcPr>
            <w:tcW w:w="8364" w:type="dxa"/>
            <w:vAlign w:val="center"/>
          </w:tcPr>
          <w:p w:rsidR="004A0FB0" w:rsidRPr="00583FC7" w:rsidRDefault="00677C6A" w:rsidP="004A0FB0">
            <w:pPr>
              <w:pStyle w:val="Normalbullet"/>
              <w:numPr>
                <w:ilvl w:val="0"/>
                <w:numId w:val="0"/>
              </w:numPr>
              <w:spacing w:before="0" w:after="60" w:line="264" w:lineRule="auto"/>
              <w:rPr>
                <w:rFonts w:cs="Arial"/>
                <w:sz w:val="22"/>
                <w:szCs w:val="24"/>
              </w:rPr>
            </w:pPr>
            <w:r w:rsidRPr="00583FC7">
              <w:rPr>
                <w:rFonts w:cs="Arial"/>
                <w:sz w:val="22"/>
                <w:szCs w:val="24"/>
              </w:rPr>
              <w:t>The approval has effect for:</w:t>
            </w:r>
          </w:p>
          <w:p w:rsidR="004A0FB0" w:rsidRPr="00583FC7" w:rsidRDefault="00677C6A" w:rsidP="004A0FB0">
            <w:pPr>
              <w:pStyle w:val="Normalbullet"/>
              <w:spacing w:before="0" w:line="264" w:lineRule="auto"/>
              <w:rPr>
                <w:rFonts w:cs="Arial"/>
                <w:sz w:val="22"/>
                <w:szCs w:val="24"/>
              </w:rPr>
            </w:pPr>
            <w:r w:rsidRPr="00583FC7">
              <w:rPr>
                <w:rFonts w:cs="Arial"/>
                <w:sz w:val="22"/>
                <w:szCs w:val="24"/>
              </w:rPr>
              <w:t>Wetlands of international importance (sections 16 &amp; 17B)</w:t>
            </w:r>
          </w:p>
          <w:p w:rsidR="004A0FB0" w:rsidRPr="00583FC7" w:rsidRDefault="00677C6A" w:rsidP="004A0FB0">
            <w:pPr>
              <w:pStyle w:val="Normalbullet"/>
              <w:spacing w:before="0" w:line="264" w:lineRule="auto"/>
              <w:rPr>
                <w:rFonts w:cs="Arial"/>
                <w:sz w:val="22"/>
                <w:szCs w:val="24"/>
              </w:rPr>
            </w:pPr>
            <w:r w:rsidRPr="00583FC7">
              <w:rPr>
                <w:rFonts w:cs="Arial"/>
                <w:sz w:val="22"/>
                <w:szCs w:val="24"/>
              </w:rPr>
              <w:t>Listed threatened species and communities (sections 18 &amp; 18A)</w:t>
            </w:r>
          </w:p>
          <w:p w:rsidR="004A0FB0" w:rsidRPr="00583FC7" w:rsidRDefault="00677C6A" w:rsidP="004A0FB0">
            <w:pPr>
              <w:pStyle w:val="Normalbullet"/>
              <w:spacing w:before="0" w:after="240" w:line="264" w:lineRule="auto"/>
              <w:rPr>
                <w:rFonts w:cs="Arial"/>
                <w:sz w:val="22"/>
                <w:szCs w:val="24"/>
              </w:rPr>
            </w:pPr>
            <w:r w:rsidRPr="00583FC7">
              <w:rPr>
                <w:rFonts w:cs="Arial"/>
                <w:sz w:val="22"/>
                <w:szCs w:val="24"/>
              </w:rPr>
              <w:t>Listed migratory species (sections 20 &amp; 20A)</w:t>
            </w:r>
          </w:p>
        </w:tc>
      </w:tr>
      <w:tr w:rsidR="00FA437F" w:rsidTr="004A0FB0">
        <w:tc>
          <w:tcPr>
            <w:tcW w:w="1418" w:type="dxa"/>
          </w:tcPr>
          <w:p w:rsidR="004A0FB0" w:rsidRPr="00583FC7" w:rsidRDefault="00677C6A" w:rsidP="004A0FB0">
            <w:pPr>
              <w:pStyle w:val="tablelabel"/>
              <w:spacing w:line="264" w:lineRule="auto"/>
              <w:rPr>
                <w:rFonts w:cs="Arial"/>
                <w:sz w:val="22"/>
                <w:szCs w:val="24"/>
              </w:rPr>
            </w:pPr>
            <w:r w:rsidRPr="00583FC7">
              <w:rPr>
                <w:rFonts w:cs="Arial"/>
                <w:sz w:val="22"/>
                <w:szCs w:val="24"/>
              </w:rPr>
              <w:t xml:space="preserve">Conditions of approval </w:t>
            </w:r>
          </w:p>
        </w:tc>
        <w:tc>
          <w:tcPr>
            <w:tcW w:w="8364" w:type="dxa"/>
            <w:vAlign w:val="center"/>
          </w:tcPr>
          <w:p w:rsidR="004A0FB0" w:rsidRPr="00583FC7" w:rsidRDefault="00677C6A" w:rsidP="004A0FB0">
            <w:pPr>
              <w:spacing w:after="240" w:line="264" w:lineRule="auto"/>
              <w:rPr>
                <w:rFonts w:cs="Arial"/>
                <w:sz w:val="22"/>
                <w:szCs w:val="24"/>
              </w:rPr>
            </w:pPr>
            <w:r w:rsidRPr="00583FC7">
              <w:rPr>
                <w:rFonts w:cs="Arial"/>
                <w:sz w:val="22"/>
                <w:szCs w:val="24"/>
              </w:rPr>
              <w:t xml:space="preserve">This approval is subject to the conditions specified at </w:t>
            </w:r>
            <w:r w:rsidRPr="00C26594">
              <w:rPr>
                <w:rFonts w:cs="Arial"/>
                <w:sz w:val="22"/>
                <w:szCs w:val="24"/>
                <w:u w:val="single"/>
              </w:rPr>
              <w:t>Annexure 1</w:t>
            </w:r>
            <w:r>
              <w:rPr>
                <w:rFonts w:cs="Arial"/>
                <w:sz w:val="22"/>
                <w:szCs w:val="24"/>
              </w:rPr>
              <w:t xml:space="preserve">. </w:t>
            </w:r>
          </w:p>
        </w:tc>
      </w:tr>
      <w:tr w:rsidR="00FA437F" w:rsidTr="004A0FB0">
        <w:tc>
          <w:tcPr>
            <w:tcW w:w="1418" w:type="dxa"/>
          </w:tcPr>
          <w:p w:rsidR="004A0FB0" w:rsidRPr="00583FC7" w:rsidRDefault="00677C6A" w:rsidP="004A0FB0">
            <w:pPr>
              <w:pStyle w:val="tablelabel"/>
              <w:spacing w:line="264" w:lineRule="auto"/>
              <w:rPr>
                <w:rFonts w:cs="Arial"/>
                <w:sz w:val="22"/>
                <w:szCs w:val="24"/>
              </w:rPr>
            </w:pPr>
            <w:r w:rsidRPr="00583FC7">
              <w:rPr>
                <w:rFonts w:cs="Arial"/>
                <w:sz w:val="22"/>
                <w:szCs w:val="24"/>
              </w:rPr>
              <w:t>Period for which approval has effect</w:t>
            </w:r>
          </w:p>
        </w:tc>
        <w:tc>
          <w:tcPr>
            <w:tcW w:w="8364" w:type="dxa"/>
            <w:vAlign w:val="center"/>
          </w:tcPr>
          <w:p w:rsidR="004A0FB0" w:rsidRPr="00583FC7" w:rsidRDefault="00677C6A" w:rsidP="004A0FB0">
            <w:pPr>
              <w:spacing w:after="120" w:line="264" w:lineRule="auto"/>
              <w:rPr>
                <w:rFonts w:cs="Arial"/>
                <w:sz w:val="22"/>
                <w:szCs w:val="24"/>
              </w:rPr>
            </w:pPr>
            <w:r w:rsidRPr="00583FC7">
              <w:rPr>
                <w:rFonts w:cs="Arial"/>
                <w:sz w:val="22"/>
                <w:szCs w:val="24"/>
              </w:rPr>
              <w:t>The approval has effect until 31 December 2060</w:t>
            </w:r>
          </w:p>
        </w:tc>
      </w:tr>
      <w:tr w:rsidR="00FA437F" w:rsidTr="004A0FB0">
        <w:tc>
          <w:tcPr>
            <w:tcW w:w="1418" w:type="dxa"/>
          </w:tcPr>
          <w:p w:rsidR="004A0FB0" w:rsidRPr="00583FC7" w:rsidRDefault="00677C6A" w:rsidP="004A0FB0">
            <w:pPr>
              <w:pStyle w:val="tablelabel"/>
              <w:spacing w:line="264" w:lineRule="auto"/>
              <w:rPr>
                <w:rFonts w:cs="Arial"/>
                <w:sz w:val="22"/>
                <w:szCs w:val="24"/>
              </w:rPr>
            </w:pPr>
            <w:r>
              <w:rPr>
                <w:rFonts w:cs="Arial"/>
                <w:sz w:val="22"/>
                <w:szCs w:val="24"/>
              </w:rPr>
              <w:t>General</w:t>
            </w:r>
          </w:p>
        </w:tc>
        <w:tc>
          <w:tcPr>
            <w:tcW w:w="8364" w:type="dxa"/>
            <w:vAlign w:val="center"/>
          </w:tcPr>
          <w:p w:rsidR="004A0FB0" w:rsidRPr="00583FC7" w:rsidRDefault="00677C6A" w:rsidP="004A0FB0">
            <w:pPr>
              <w:spacing w:after="240" w:line="264" w:lineRule="auto"/>
              <w:rPr>
                <w:rFonts w:cs="Arial"/>
                <w:sz w:val="22"/>
                <w:szCs w:val="24"/>
              </w:rPr>
            </w:pPr>
            <w:r w:rsidRPr="002D2494">
              <w:rPr>
                <w:rFonts w:cs="Arial"/>
                <w:sz w:val="22"/>
                <w:szCs w:val="24"/>
              </w:rPr>
              <w:t>Further explanatory information related to this ap</w:t>
            </w:r>
            <w:r>
              <w:rPr>
                <w:rFonts w:cs="Arial"/>
                <w:sz w:val="22"/>
                <w:szCs w:val="24"/>
              </w:rPr>
              <w:t xml:space="preserve">proval decision is at </w:t>
            </w:r>
            <w:r w:rsidRPr="00C26594">
              <w:rPr>
                <w:rFonts w:cs="Arial"/>
                <w:sz w:val="22"/>
                <w:szCs w:val="24"/>
                <w:u w:val="single"/>
              </w:rPr>
              <w:t xml:space="preserve">Annexure </w:t>
            </w:r>
            <w:r>
              <w:rPr>
                <w:rFonts w:cs="Arial"/>
                <w:sz w:val="22"/>
                <w:szCs w:val="24"/>
                <w:u w:val="single"/>
              </w:rPr>
              <w:t>2</w:t>
            </w:r>
            <w:r w:rsidRPr="002D2494">
              <w:rPr>
                <w:rFonts w:cs="Arial"/>
                <w:sz w:val="22"/>
                <w:szCs w:val="24"/>
              </w:rPr>
              <w:t>.</w:t>
            </w:r>
          </w:p>
        </w:tc>
      </w:tr>
    </w:tbl>
    <w:p w:rsidR="004A0FB0" w:rsidRPr="00CC43D6" w:rsidRDefault="00444B2B" w:rsidP="004A0FB0">
      <w:pPr>
        <w:spacing w:after="120" w:line="264" w:lineRule="auto"/>
        <w:rPr>
          <w:sz w:val="22"/>
          <w:szCs w:val="22"/>
        </w:rPr>
      </w:pPr>
    </w:p>
    <w:p w:rsidR="004A0FB0" w:rsidRPr="00CC43D6" w:rsidRDefault="00677C6A" w:rsidP="004A0FB0">
      <w:pPr>
        <w:spacing w:after="120" w:line="264" w:lineRule="auto"/>
        <w:ind w:left="-142"/>
        <w:rPr>
          <w:b/>
          <w:sz w:val="22"/>
          <w:szCs w:val="22"/>
        </w:rPr>
      </w:pPr>
      <w:r w:rsidRPr="00CC43D6">
        <w:rPr>
          <w:b/>
          <w:sz w:val="22"/>
          <w:szCs w:val="22"/>
        </w:rPr>
        <w:t>Person authorised to make decision</w:t>
      </w:r>
    </w:p>
    <w:tbl>
      <w:tblPr>
        <w:tblW w:w="9640" w:type="dxa"/>
        <w:tblInd w:w="-176" w:type="dxa"/>
        <w:tblBorders>
          <w:insideH w:val="single" w:sz="4" w:space="0" w:color="auto"/>
        </w:tblBorders>
        <w:tblCellMar>
          <w:top w:w="113" w:type="dxa"/>
          <w:bottom w:w="113" w:type="dxa"/>
        </w:tblCellMar>
        <w:tblLook w:val="01E0"/>
      </w:tblPr>
      <w:tblGrid>
        <w:gridCol w:w="2269"/>
        <w:gridCol w:w="7371"/>
      </w:tblGrid>
      <w:tr w:rsidR="00FA437F" w:rsidTr="004A0FB0">
        <w:tc>
          <w:tcPr>
            <w:tcW w:w="2269" w:type="dxa"/>
            <w:tcBorders>
              <w:top w:val="single" w:sz="4" w:space="0" w:color="auto"/>
              <w:bottom w:val="single" w:sz="4" w:space="0" w:color="auto"/>
            </w:tcBorders>
          </w:tcPr>
          <w:p w:rsidR="004A0FB0" w:rsidRPr="00583FC7" w:rsidRDefault="00677C6A" w:rsidP="004A0FB0">
            <w:pPr>
              <w:pStyle w:val="tablelabel"/>
              <w:spacing w:after="120" w:line="264" w:lineRule="auto"/>
              <w:rPr>
                <w:rFonts w:cs="Arial"/>
                <w:sz w:val="22"/>
                <w:szCs w:val="24"/>
              </w:rPr>
            </w:pPr>
            <w:r w:rsidRPr="00583FC7">
              <w:rPr>
                <w:rFonts w:cs="Arial"/>
                <w:sz w:val="22"/>
                <w:szCs w:val="24"/>
              </w:rPr>
              <w:t>Name and Position</w:t>
            </w:r>
          </w:p>
        </w:tc>
        <w:tc>
          <w:tcPr>
            <w:tcW w:w="7371" w:type="dxa"/>
            <w:tcBorders>
              <w:top w:val="single" w:sz="4" w:space="0" w:color="auto"/>
              <w:bottom w:val="single" w:sz="4" w:space="0" w:color="auto"/>
            </w:tcBorders>
          </w:tcPr>
          <w:p w:rsidR="004A0FB0" w:rsidRPr="00583FC7" w:rsidRDefault="00677C6A" w:rsidP="004A0FB0">
            <w:pPr>
              <w:spacing w:line="264" w:lineRule="auto"/>
              <w:rPr>
                <w:rFonts w:cs="Arial"/>
                <w:sz w:val="22"/>
                <w:szCs w:val="24"/>
              </w:rPr>
            </w:pPr>
            <w:r>
              <w:rPr>
                <w:rFonts w:cs="Arial"/>
                <w:sz w:val="22"/>
                <w:szCs w:val="24"/>
              </w:rPr>
              <w:t>The Hon Simon Birmingham</w:t>
            </w:r>
          </w:p>
          <w:p w:rsidR="004A0FB0" w:rsidRPr="00583FC7" w:rsidRDefault="00677C6A" w:rsidP="004A0FB0">
            <w:pPr>
              <w:spacing w:after="240" w:line="264" w:lineRule="auto"/>
              <w:ind w:right="-851"/>
              <w:rPr>
                <w:rFonts w:cs="Arial"/>
                <w:sz w:val="22"/>
                <w:szCs w:val="24"/>
              </w:rPr>
            </w:pPr>
            <w:r>
              <w:rPr>
                <w:rFonts w:cs="Arial"/>
                <w:sz w:val="22"/>
                <w:szCs w:val="24"/>
              </w:rPr>
              <w:t xml:space="preserve">Parliamentary Secretary to the </w:t>
            </w:r>
            <w:r w:rsidRPr="00583FC7">
              <w:rPr>
                <w:rFonts w:cs="Arial"/>
                <w:sz w:val="22"/>
                <w:szCs w:val="24"/>
              </w:rPr>
              <w:t xml:space="preserve">Minister for </w:t>
            </w:r>
            <w:r>
              <w:rPr>
                <w:rFonts w:cs="Arial"/>
                <w:sz w:val="22"/>
                <w:szCs w:val="24"/>
              </w:rPr>
              <w:t xml:space="preserve">the </w:t>
            </w:r>
            <w:r w:rsidRPr="00583FC7">
              <w:rPr>
                <w:rFonts w:cs="Arial"/>
                <w:sz w:val="22"/>
                <w:szCs w:val="24"/>
              </w:rPr>
              <w:t>Env</w:t>
            </w:r>
            <w:r>
              <w:rPr>
                <w:rFonts w:cs="Arial"/>
                <w:sz w:val="22"/>
                <w:szCs w:val="24"/>
              </w:rPr>
              <w:t>ironment</w:t>
            </w:r>
          </w:p>
        </w:tc>
      </w:tr>
      <w:tr w:rsidR="00FA437F" w:rsidTr="004A0FB0">
        <w:tc>
          <w:tcPr>
            <w:tcW w:w="2269" w:type="dxa"/>
            <w:tcBorders>
              <w:top w:val="single" w:sz="4" w:space="0" w:color="auto"/>
              <w:bottom w:val="single" w:sz="4" w:space="0" w:color="auto"/>
            </w:tcBorders>
          </w:tcPr>
          <w:p w:rsidR="004A0FB0" w:rsidRPr="00583FC7" w:rsidRDefault="00677C6A" w:rsidP="004A0FB0">
            <w:pPr>
              <w:pStyle w:val="tablelabel"/>
              <w:spacing w:line="264" w:lineRule="auto"/>
              <w:rPr>
                <w:rFonts w:cs="Arial"/>
                <w:sz w:val="22"/>
                <w:szCs w:val="24"/>
              </w:rPr>
            </w:pPr>
            <w:r w:rsidRPr="00583FC7">
              <w:rPr>
                <w:rFonts w:cs="Arial"/>
                <w:sz w:val="22"/>
                <w:szCs w:val="24"/>
              </w:rPr>
              <w:t>Signature</w:t>
            </w:r>
          </w:p>
        </w:tc>
        <w:tc>
          <w:tcPr>
            <w:tcW w:w="7371" w:type="dxa"/>
            <w:tcBorders>
              <w:top w:val="single" w:sz="4" w:space="0" w:color="auto"/>
              <w:bottom w:val="single" w:sz="4" w:space="0" w:color="auto"/>
            </w:tcBorders>
          </w:tcPr>
          <w:p w:rsidR="004A0FB0" w:rsidRDefault="00444B2B" w:rsidP="004A0FB0">
            <w:pPr>
              <w:spacing w:line="264" w:lineRule="auto"/>
              <w:rPr>
                <w:rFonts w:cs="Arial"/>
                <w:b/>
                <w:color w:val="FF0000"/>
                <w:sz w:val="22"/>
                <w:szCs w:val="24"/>
              </w:rPr>
            </w:pPr>
          </w:p>
          <w:p w:rsidR="004A0FB0" w:rsidRPr="00677C6A" w:rsidRDefault="00677C6A" w:rsidP="004A0FB0">
            <w:pPr>
              <w:spacing w:line="264" w:lineRule="auto"/>
              <w:rPr>
                <w:rFonts w:cs="Arial"/>
                <w:b/>
                <w:sz w:val="22"/>
                <w:szCs w:val="24"/>
              </w:rPr>
            </w:pPr>
            <w:r w:rsidRPr="00677C6A">
              <w:rPr>
                <w:rFonts w:cs="Arial"/>
                <w:b/>
                <w:sz w:val="22"/>
                <w:szCs w:val="24"/>
              </w:rPr>
              <w:t>Simon Birmingham</w:t>
            </w:r>
          </w:p>
          <w:p w:rsidR="004A0FB0" w:rsidRDefault="00444B2B" w:rsidP="004A0FB0">
            <w:pPr>
              <w:spacing w:line="264" w:lineRule="auto"/>
              <w:rPr>
                <w:rFonts w:cs="Arial"/>
                <w:b/>
                <w:color w:val="FF0000"/>
                <w:sz w:val="22"/>
                <w:szCs w:val="24"/>
              </w:rPr>
            </w:pPr>
          </w:p>
          <w:p w:rsidR="004A0FB0" w:rsidRPr="00583FC7" w:rsidRDefault="00444B2B" w:rsidP="004A0FB0">
            <w:pPr>
              <w:spacing w:line="264" w:lineRule="auto"/>
              <w:rPr>
                <w:rFonts w:cs="Arial"/>
                <w:b/>
                <w:color w:val="FF0000"/>
                <w:sz w:val="22"/>
                <w:szCs w:val="24"/>
              </w:rPr>
            </w:pPr>
          </w:p>
        </w:tc>
      </w:tr>
      <w:tr w:rsidR="00FA437F" w:rsidTr="004A0FB0">
        <w:tc>
          <w:tcPr>
            <w:tcW w:w="2269" w:type="dxa"/>
            <w:tcBorders>
              <w:top w:val="single" w:sz="4" w:space="0" w:color="auto"/>
              <w:bottom w:val="single" w:sz="4" w:space="0" w:color="auto"/>
            </w:tcBorders>
          </w:tcPr>
          <w:p w:rsidR="004A0FB0" w:rsidRPr="00583FC7" w:rsidRDefault="00677C6A" w:rsidP="004A0FB0">
            <w:pPr>
              <w:pStyle w:val="tablelabel"/>
              <w:spacing w:line="264" w:lineRule="auto"/>
              <w:rPr>
                <w:rFonts w:cs="Arial"/>
                <w:sz w:val="22"/>
                <w:szCs w:val="24"/>
              </w:rPr>
            </w:pPr>
            <w:r w:rsidRPr="00583FC7">
              <w:rPr>
                <w:rFonts w:cs="Arial"/>
                <w:sz w:val="22"/>
                <w:szCs w:val="24"/>
              </w:rPr>
              <w:t>Date of decision</w:t>
            </w:r>
          </w:p>
        </w:tc>
        <w:tc>
          <w:tcPr>
            <w:tcW w:w="7371" w:type="dxa"/>
            <w:tcBorders>
              <w:top w:val="single" w:sz="4" w:space="0" w:color="auto"/>
              <w:bottom w:val="single" w:sz="4" w:space="0" w:color="auto"/>
            </w:tcBorders>
          </w:tcPr>
          <w:p w:rsidR="004A0FB0" w:rsidRDefault="00444B2B" w:rsidP="004A0FB0">
            <w:pPr>
              <w:spacing w:line="264" w:lineRule="auto"/>
              <w:rPr>
                <w:rFonts w:cs="Arial"/>
                <w:b/>
                <w:color w:val="FF0000"/>
                <w:sz w:val="22"/>
                <w:szCs w:val="24"/>
              </w:rPr>
            </w:pPr>
          </w:p>
          <w:p w:rsidR="004A0FB0" w:rsidRPr="00677C6A" w:rsidRDefault="00677C6A" w:rsidP="004A0FB0">
            <w:pPr>
              <w:spacing w:line="264" w:lineRule="auto"/>
              <w:rPr>
                <w:rFonts w:cs="Arial"/>
                <w:b/>
                <w:sz w:val="22"/>
                <w:szCs w:val="24"/>
              </w:rPr>
            </w:pPr>
            <w:r w:rsidRPr="00677C6A">
              <w:rPr>
                <w:rFonts w:cs="Arial"/>
                <w:b/>
                <w:sz w:val="22"/>
                <w:szCs w:val="24"/>
              </w:rPr>
              <w:t>11 September 2014</w:t>
            </w:r>
          </w:p>
          <w:p w:rsidR="004A0FB0" w:rsidRPr="00583FC7" w:rsidRDefault="00444B2B" w:rsidP="004A0FB0">
            <w:pPr>
              <w:spacing w:line="264" w:lineRule="auto"/>
              <w:rPr>
                <w:rFonts w:cs="Arial"/>
                <w:b/>
                <w:color w:val="FF0000"/>
                <w:sz w:val="22"/>
                <w:szCs w:val="24"/>
              </w:rPr>
            </w:pPr>
          </w:p>
        </w:tc>
      </w:tr>
    </w:tbl>
    <w:p w:rsidR="004A0FB0" w:rsidRDefault="00444B2B" w:rsidP="004A0FB0">
      <w:pPr>
        <w:spacing w:after="120" w:line="264" w:lineRule="auto"/>
        <w:rPr>
          <w:rFonts w:cs="Arial"/>
          <w:b/>
          <w:sz w:val="22"/>
          <w:szCs w:val="24"/>
        </w:rPr>
      </w:pPr>
    </w:p>
    <w:p w:rsidR="004A0FB0" w:rsidRDefault="00677C6A" w:rsidP="004A0FB0">
      <w:pPr>
        <w:spacing w:after="120" w:line="264" w:lineRule="auto"/>
        <w:rPr>
          <w:rFonts w:cs="Arial"/>
          <w:b/>
          <w:sz w:val="22"/>
          <w:szCs w:val="24"/>
        </w:rPr>
      </w:pPr>
      <w:r>
        <w:rPr>
          <w:rFonts w:cs="Arial"/>
          <w:b/>
          <w:sz w:val="22"/>
          <w:szCs w:val="24"/>
        </w:rPr>
        <w:br w:type="page"/>
      </w:r>
      <w:r>
        <w:rPr>
          <w:rFonts w:cs="Arial"/>
          <w:b/>
          <w:sz w:val="22"/>
          <w:szCs w:val="24"/>
        </w:rPr>
        <w:lastRenderedPageBreak/>
        <w:t>ANNEXURE 1</w:t>
      </w:r>
    </w:p>
    <w:p w:rsidR="004A0FB0" w:rsidRDefault="00677C6A" w:rsidP="004A0FB0">
      <w:pPr>
        <w:spacing w:after="120" w:line="264" w:lineRule="auto"/>
        <w:rPr>
          <w:rFonts w:cs="Arial"/>
          <w:b/>
          <w:sz w:val="22"/>
          <w:szCs w:val="24"/>
        </w:rPr>
      </w:pPr>
      <w:r>
        <w:rPr>
          <w:rFonts w:cs="Arial"/>
          <w:b/>
          <w:sz w:val="22"/>
          <w:szCs w:val="24"/>
        </w:rPr>
        <w:t>CONDITIONS OF APPROVAL</w:t>
      </w:r>
    </w:p>
    <w:p w:rsidR="004A0FB0" w:rsidRDefault="00677C6A" w:rsidP="004A0FB0">
      <w:pPr>
        <w:spacing w:after="240" w:line="264" w:lineRule="auto"/>
        <w:rPr>
          <w:rFonts w:cs="Arial"/>
          <w:sz w:val="22"/>
          <w:szCs w:val="24"/>
        </w:rPr>
      </w:pPr>
      <w:r>
        <w:rPr>
          <w:rFonts w:cs="Arial"/>
          <w:sz w:val="22"/>
          <w:szCs w:val="24"/>
        </w:rPr>
        <w:t xml:space="preserve">Actions must be undertaken in accordance with the following conditions to ensure protection of listed threatened species and ecological communities, listed migratory species and the ecological character of the Port Phillip Bay (Western Shoreline) and Bellarine Peninsula </w:t>
      </w:r>
      <w:proofErr w:type="spellStart"/>
      <w:r>
        <w:rPr>
          <w:rFonts w:cs="Arial"/>
          <w:sz w:val="22"/>
          <w:szCs w:val="24"/>
        </w:rPr>
        <w:t>Ramsar</w:t>
      </w:r>
      <w:proofErr w:type="spellEnd"/>
      <w:r>
        <w:rPr>
          <w:rFonts w:cs="Arial"/>
          <w:sz w:val="22"/>
          <w:szCs w:val="24"/>
        </w:rPr>
        <w:t xml:space="preserve"> site and the Western Port </w:t>
      </w:r>
      <w:proofErr w:type="spellStart"/>
      <w:r>
        <w:rPr>
          <w:rFonts w:cs="Arial"/>
          <w:sz w:val="22"/>
          <w:szCs w:val="24"/>
        </w:rPr>
        <w:t>Ramsar</w:t>
      </w:r>
      <w:proofErr w:type="spellEnd"/>
      <w:r>
        <w:rPr>
          <w:rFonts w:cs="Arial"/>
          <w:sz w:val="22"/>
          <w:szCs w:val="24"/>
        </w:rPr>
        <w:t xml:space="preserve"> site.</w:t>
      </w:r>
    </w:p>
    <w:p w:rsidR="004A0FB0" w:rsidRPr="001E370F" w:rsidRDefault="00677C6A" w:rsidP="004A0FB0">
      <w:pPr>
        <w:spacing w:after="120" w:line="264" w:lineRule="auto"/>
        <w:rPr>
          <w:rFonts w:cs="Arial"/>
          <w:i/>
          <w:sz w:val="22"/>
          <w:szCs w:val="24"/>
        </w:rPr>
      </w:pPr>
      <w:r w:rsidRPr="001E370F">
        <w:rPr>
          <w:rFonts w:cs="Arial"/>
          <w:i/>
          <w:sz w:val="22"/>
          <w:szCs w:val="24"/>
        </w:rPr>
        <w:t>Actions must be undertaken in accordance with approved strategies</w:t>
      </w:r>
    </w:p>
    <w:p w:rsidR="004A0FB0" w:rsidRPr="00482133" w:rsidRDefault="00677C6A" w:rsidP="004A0FB0">
      <w:pPr>
        <w:numPr>
          <w:ilvl w:val="0"/>
          <w:numId w:val="4"/>
        </w:numPr>
        <w:spacing w:after="120" w:line="264" w:lineRule="auto"/>
        <w:rPr>
          <w:rFonts w:cs="Arial"/>
          <w:sz w:val="22"/>
          <w:szCs w:val="22"/>
        </w:rPr>
      </w:pPr>
      <w:r>
        <w:rPr>
          <w:sz w:val="22"/>
          <w:szCs w:val="22"/>
        </w:rPr>
        <w:t xml:space="preserve">Persons taking actions must undertake the actions in accordance with the following strategies approved by the Minister pursuant to the </w:t>
      </w:r>
      <w:r>
        <w:rPr>
          <w:rFonts w:cs="Arial"/>
          <w:sz w:val="22"/>
          <w:szCs w:val="24"/>
          <w:lang w:eastAsia="en-AU"/>
        </w:rPr>
        <w:t xml:space="preserve">Program of the Victorian Government for Melbourne’s urban growth, as described in </w:t>
      </w:r>
      <w:r>
        <w:rPr>
          <w:rFonts w:cs="Arial"/>
          <w:i/>
          <w:sz w:val="22"/>
          <w:szCs w:val="24"/>
          <w:lang w:eastAsia="en-AU"/>
        </w:rPr>
        <w:t>Delivering Melbourne’s Newest Sustainable Communities</w:t>
      </w:r>
      <w:r>
        <w:rPr>
          <w:rFonts w:cs="Arial"/>
          <w:sz w:val="22"/>
          <w:szCs w:val="24"/>
          <w:lang w:eastAsia="en-AU"/>
        </w:rPr>
        <w:t xml:space="preserve"> (Victorian Government, December 2009),</w:t>
      </w:r>
      <w:r>
        <w:rPr>
          <w:sz w:val="22"/>
          <w:szCs w:val="22"/>
        </w:rPr>
        <w:t xml:space="preserve"> for protection of matters of national environmental significance:</w:t>
      </w:r>
    </w:p>
    <w:p w:rsidR="004A0FB0" w:rsidRPr="00B2491F" w:rsidRDefault="00677C6A" w:rsidP="004A0FB0">
      <w:pPr>
        <w:numPr>
          <w:ilvl w:val="0"/>
          <w:numId w:val="14"/>
        </w:numPr>
        <w:spacing w:after="120" w:line="264" w:lineRule="auto"/>
        <w:rPr>
          <w:rFonts w:cs="Arial"/>
          <w:sz w:val="22"/>
          <w:szCs w:val="22"/>
        </w:rPr>
      </w:pPr>
      <w:r w:rsidRPr="00803079">
        <w:rPr>
          <w:i/>
          <w:sz w:val="22"/>
          <w:szCs w:val="22"/>
        </w:rPr>
        <w:t>Biodiversity Conservation Strategy for Melbourne’s Growth Corridors</w:t>
      </w:r>
      <w:r>
        <w:rPr>
          <w:sz w:val="22"/>
          <w:szCs w:val="22"/>
        </w:rPr>
        <w:t xml:space="preserve"> (Victorian Government Department of Environment and Primary Industries, </w:t>
      </w:r>
      <w:r w:rsidRPr="00F90709">
        <w:rPr>
          <w:sz w:val="22"/>
          <w:szCs w:val="22"/>
        </w:rPr>
        <w:t>June</w:t>
      </w:r>
      <w:r>
        <w:rPr>
          <w:sz w:val="22"/>
          <w:szCs w:val="22"/>
        </w:rPr>
        <w:t xml:space="preserve"> 2013)</w:t>
      </w:r>
    </w:p>
    <w:p w:rsidR="004A0FB0" w:rsidRPr="00B2491F" w:rsidRDefault="00677C6A" w:rsidP="004A0FB0">
      <w:pPr>
        <w:numPr>
          <w:ilvl w:val="0"/>
          <w:numId w:val="14"/>
        </w:numPr>
        <w:spacing w:after="120" w:line="264" w:lineRule="auto"/>
        <w:rPr>
          <w:rFonts w:cs="Arial"/>
          <w:sz w:val="22"/>
          <w:szCs w:val="22"/>
        </w:rPr>
      </w:pPr>
      <w:r w:rsidRPr="00803079">
        <w:rPr>
          <w:i/>
          <w:sz w:val="22"/>
          <w:szCs w:val="22"/>
        </w:rPr>
        <w:t xml:space="preserve">Sub-regional </w:t>
      </w:r>
      <w:r>
        <w:rPr>
          <w:i/>
          <w:sz w:val="22"/>
          <w:szCs w:val="22"/>
        </w:rPr>
        <w:t xml:space="preserve">Species </w:t>
      </w:r>
      <w:r w:rsidRPr="00803079">
        <w:rPr>
          <w:i/>
          <w:sz w:val="22"/>
          <w:szCs w:val="22"/>
        </w:rPr>
        <w:t>Strategy</w:t>
      </w:r>
      <w:r>
        <w:rPr>
          <w:sz w:val="22"/>
          <w:szCs w:val="22"/>
        </w:rPr>
        <w:t xml:space="preserve"> </w:t>
      </w:r>
      <w:r w:rsidRPr="00B67540">
        <w:rPr>
          <w:i/>
          <w:sz w:val="22"/>
          <w:szCs w:val="22"/>
        </w:rPr>
        <w:t>for the Golden Sun Moth</w:t>
      </w:r>
      <w:r>
        <w:rPr>
          <w:sz w:val="22"/>
          <w:szCs w:val="22"/>
        </w:rPr>
        <w:t xml:space="preserve"> (Victorian Government Department of Environment and Primary Industries, May 2013)</w:t>
      </w:r>
    </w:p>
    <w:p w:rsidR="004A0FB0" w:rsidRPr="00193472" w:rsidRDefault="00677C6A" w:rsidP="004A0FB0">
      <w:pPr>
        <w:numPr>
          <w:ilvl w:val="0"/>
          <w:numId w:val="14"/>
        </w:numPr>
        <w:spacing w:after="240" w:line="264" w:lineRule="auto"/>
        <w:ind w:left="714" w:hanging="357"/>
        <w:rPr>
          <w:rFonts w:cs="Arial"/>
          <w:sz w:val="22"/>
          <w:szCs w:val="22"/>
        </w:rPr>
      </w:pPr>
      <w:r w:rsidRPr="00803079">
        <w:rPr>
          <w:i/>
          <w:sz w:val="22"/>
          <w:szCs w:val="22"/>
        </w:rPr>
        <w:t xml:space="preserve">Sub-regional </w:t>
      </w:r>
      <w:r>
        <w:rPr>
          <w:i/>
          <w:sz w:val="22"/>
          <w:szCs w:val="22"/>
        </w:rPr>
        <w:t xml:space="preserve">Species </w:t>
      </w:r>
      <w:r w:rsidRPr="00803079">
        <w:rPr>
          <w:i/>
          <w:sz w:val="22"/>
          <w:szCs w:val="22"/>
        </w:rPr>
        <w:t>Strategy</w:t>
      </w:r>
      <w:r>
        <w:rPr>
          <w:sz w:val="22"/>
          <w:szCs w:val="22"/>
        </w:rPr>
        <w:t xml:space="preserve"> </w:t>
      </w:r>
      <w:r w:rsidRPr="00B67540">
        <w:rPr>
          <w:i/>
          <w:sz w:val="22"/>
          <w:szCs w:val="22"/>
        </w:rPr>
        <w:t>for the Growling Grass Frog</w:t>
      </w:r>
      <w:r>
        <w:rPr>
          <w:sz w:val="22"/>
          <w:szCs w:val="22"/>
        </w:rPr>
        <w:t xml:space="preserve"> (Victorian Government Department of Environment and Primary Industries, May 2013)</w:t>
      </w:r>
    </w:p>
    <w:p w:rsidR="004A0FB0" w:rsidRPr="00332734" w:rsidRDefault="00677C6A" w:rsidP="004A0FB0">
      <w:pPr>
        <w:numPr>
          <w:ilvl w:val="0"/>
          <w:numId w:val="14"/>
        </w:numPr>
        <w:spacing w:after="240" w:line="264" w:lineRule="auto"/>
        <w:ind w:left="714" w:hanging="357"/>
        <w:rPr>
          <w:rFonts w:cs="Arial"/>
          <w:sz w:val="22"/>
          <w:szCs w:val="22"/>
        </w:rPr>
      </w:pPr>
      <w:r w:rsidRPr="00803079">
        <w:rPr>
          <w:i/>
          <w:sz w:val="22"/>
          <w:szCs w:val="22"/>
        </w:rPr>
        <w:t xml:space="preserve">Sub-regional </w:t>
      </w:r>
      <w:r>
        <w:rPr>
          <w:i/>
          <w:sz w:val="22"/>
          <w:szCs w:val="22"/>
        </w:rPr>
        <w:t xml:space="preserve">Species </w:t>
      </w:r>
      <w:r w:rsidRPr="00803079">
        <w:rPr>
          <w:i/>
          <w:sz w:val="22"/>
          <w:szCs w:val="22"/>
        </w:rPr>
        <w:t>Strategy</w:t>
      </w:r>
      <w:r>
        <w:rPr>
          <w:sz w:val="22"/>
          <w:szCs w:val="22"/>
        </w:rPr>
        <w:t xml:space="preserve"> </w:t>
      </w:r>
      <w:r w:rsidRPr="00B67540">
        <w:rPr>
          <w:i/>
          <w:sz w:val="22"/>
          <w:szCs w:val="22"/>
        </w:rPr>
        <w:t xml:space="preserve">for the </w:t>
      </w:r>
      <w:r>
        <w:rPr>
          <w:i/>
          <w:sz w:val="22"/>
          <w:szCs w:val="22"/>
        </w:rPr>
        <w:t xml:space="preserve">Southern Brown Bandicoot </w:t>
      </w:r>
      <w:r>
        <w:rPr>
          <w:sz w:val="22"/>
          <w:szCs w:val="22"/>
        </w:rPr>
        <w:t xml:space="preserve">(Victorian </w:t>
      </w:r>
      <w:r w:rsidRPr="00332734">
        <w:rPr>
          <w:sz w:val="22"/>
          <w:szCs w:val="22"/>
        </w:rPr>
        <w:t>Government Department of Environment and Primary Industries, January 2014)</w:t>
      </w:r>
      <w:r>
        <w:rPr>
          <w:sz w:val="22"/>
          <w:szCs w:val="22"/>
        </w:rPr>
        <w:t>, and</w:t>
      </w:r>
    </w:p>
    <w:p w:rsidR="004A0FB0" w:rsidRPr="001E370F" w:rsidRDefault="00677C6A" w:rsidP="004A0FB0">
      <w:pPr>
        <w:numPr>
          <w:ilvl w:val="0"/>
          <w:numId w:val="14"/>
        </w:numPr>
        <w:spacing w:after="240" w:line="264" w:lineRule="auto"/>
        <w:ind w:left="714" w:hanging="357"/>
        <w:rPr>
          <w:rFonts w:cs="Arial"/>
          <w:sz w:val="22"/>
          <w:szCs w:val="22"/>
        </w:rPr>
      </w:pPr>
      <w:r>
        <w:rPr>
          <w:rFonts w:cs="Arial"/>
          <w:sz w:val="22"/>
          <w:szCs w:val="22"/>
        </w:rPr>
        <w:t xml:space="preserve"> </w:t>
      </w:r>
      <w:r w:rsidRPr="00332734">
        <w:rPr>
          <w:rFonts w:cs="Arial"/>
          <w:i/>
          <w:sz w:val="22"/>
          <w:szCs w:val="22"/>
        </w:rPr>
        <w:t xml:space="preserve">Sub-regional Species Strategy for the Southern Brown Bandicoot </w:t>
      </w:r>
      <w:r>
        <w:rPr>
          <w:rFonts w:cs="Arial"/>
          <w:i/>
          <w:sz w:val="22"/>
          <w:szCs w:val="22"/>
        </w:rPr>
        <w:t>Supplement: Habitat Connectivity</w:t>
      </w:r>
      <w:r w:rsidRPr="00332734">
        <w:rPr>
          <w:rFonts w:cs="Arial"/>
          <w:sz w:val="22"/>
          <w:szCs w:val="22"/>
        </w:rPr>
        <w:t xml:space="preserve"> (Victorian Government Department of Environment and Primary Industries, Ju</w:t>
      </w:r>
      <w:r>
        <w:rPr>
          <w:rFonts w:cs="Arial"/>
          <w:sz w:val="22"/>
          <w:szCs w:val="22"/>
        </w:rPr>
        <w:t>ly</w:t>
      </w:r>
      <w:r w:rsidRPr="00332734">
        <w:rPr>
          <w:rFonts w:cs="Arial"/>
          <w:sz w:val="22"/>
          <w:szCs w:val="22"/>
        </w:rPr>
        <w:t xml:space="preserve"> 2014).</w:t>
      </w:r>
    </w:p>
    <w:p w:rsidR="004A0FB0" w:rsidRPr="001E370F" w:rsidRDefault="00677C6A" w:rsidP="004A0FB0">
      <w:pPr>
        <w:spacing w:after="120" w:line="264" w:lineRule="auto"/>
        <w:rPr>
          <w:i/>
          <w:sz w:val="22"/>
          <w:szCs w:val="22"/>
        </w:rPr>
      </w:pPr>
      <w:r>
        <w:rPr>
          <w:i/>
          <w:sz w:val="22"/>
          <w:szCs w:val="22"/>
        </w:rPr>
        <w:t>Actions cannot occur in conservation a</w:t>
      </w:r>
      <w:r w:rsidRPr="001E370F">
        <w:rPr>
          <w:i/>
          <w:sz w:val="22"/>
          <w:szCs w:val="22"/>
        </w:rPr>
        <w:t>reas</w:t>
      </w:r>
      <w:r>
        <w:rPr>
          <w:i/>
          <w:sz w:val="22"/>
          <w:szCs w:val="22"/>
        </w:rPr>
        <w:t xml:space="preserve"> without agreement</w:t>
      </w:r>
    </w:p>
    <w:p w:rsidR="004A0FB0" w:rsidRDefault="00677C6A" w:rsidP="004A0FB0">
      <w:pPr>
        <w:numPr>
          <w:ilvl w:val="0"/>
          <w:numId w:val="17"/>
        </w:numPr>
        <w:spacing w:after="200" w:line="276" w:lineRule="auto"/>
        <w:rPr>
          <w:sz w:val="22"/>
          <w:szCs w:val="22"/>
        </w:rPr>
      </w:pPr>
      <w:r>
        <w:rPr>
          <w:sz w:val="22"/>
          <w:szCs w:val="22"/>
        </w:rPr>
        <w:t>Persons must not take any actions, resulting in a net loss of habitat for listed ecological communities and listed species, in c</w:t>
      </w:r>
      <w:r w:rsidRPr="0038244D">
        <w:rPr>
          <w:sz w:val="22"/>
          <w:szCs w:val="22"/>
        </w:rPr>
        <w:t xml:space="preserve">onservation </w:t>
      </w:r>
      <w:r>
        <w:rPr>
          <w:sz w:val="22"/>
          <w:szCs w:val="22"/>
        </w:rPr>
        <w:t xml:space="preserve">areas 35 or 36 described in Section 5 of the </w:t>
      </w:r>
      <w:r w:rsidRPr="00803079">
        <w:rPr>
          <w:i/>
          <w:sz w:val="22"/>
          <w:szCs w:val="22"/>
        </w:rPr>
        <w:t>Biodiversity Conservation Strategy for Melbourne’s Growth Corridors</w:t>
      </w:r>
      <w:r>
        <w:rPr>
          <w:sz w:val="22"/>
          <w:szCs w:val="22"/>
        </w:rPr>
        <w:t xml:space="preserve"> (Victorian Government</w:t>
      </w:r>
      <w:r w:rsidRPr="004B1446">
        <w:rPr>
          <w:sz w:val="22"/>
          <w:szCs w:val="22"/>
        </w:rPr>
        <w:t xml:space="preserve"> </w:t>
      </w:r>
      <w:r>
        <w:rPr>
          <w:sz w:val="22"/>
          <w:szCs w:val="22"/>
        </w:rPr>
        <w:t xml:space="preserve">Department of Environment and Primary Industries, </w:t>
      </w:r>
      <w:r w:rsidRPr="00F90709">
        <w:rPr>
          <w:sz w:val="22"/>
          <w:szCs w:val="22"/>
        </w:rPr>
        <w:t>June</w:t>
      </w:r>
      <w:r>
        <w:rPr>
          <w:sz w:val="22"/>
          <w:szCs w:val="22"/>
        </w:rPr>
        <w:t xml:space="preserve"> 2013) unless agreed by the Minister.</w:t>
      </w:r>
    </w:p>
    <w:p w:rsidR="004A0FB0" w:rsidRPr="001E370F" w:rsidRDefault="00677C6A" w:rsidP="004A0FB0">
      <w:pPr>
        <w:spacing w:after="120" w:line="264" w:lineRule="auto"/>
        <w:rPr>
          <w:i/>
          <w:sz w:val="22"/>
          <w:szCs w:val="22"/>
        </w:rPr>
      </w:pPr>
      <w:r>
        <w:rPr>
          <w:i/>
          <w:sz w:val="22"/>
          <w:szCs w:val="22"/>
        </w:rPr>
        <w:t>Changes to the area or boundaries of conservation areas cannot occur without agreement</w:t>
      </w:r>
    </w:p>
    <w:p w:rsidR="004A0FB0" w:rsidRDefault="00677C6A" w:rsidP="004A0FB0">
      <w:pPr>
        <w:numPr>
          <w:ilvl w:val="0"/>
          <w:numId w:val="17"/>
        </w:numPr>
        <w:spacing w:after="200" w:line="276" w:lineRule="auto"/>
        <w:rPr>
          <w:sz w:val="22"/>
          <w:szCs w:val="22"/>
        </w:rPr>
      </w:pPr>
      <w:r>
        <w:rPr>
          <w:sz w:val="22"/>
          <w:szCs w:val="22"/>
        </w:rPr>
        <w:t>Persons must not take any actions that would cause, or otherwise facilitate, a net loss of area of the c</w:t>
      </w:r>
      <w:r w:rsidRPr="0038244D">
        <w:rPr>
          <w:sz w:val="22"/>
          <w:szCs w:val="22"/>
        </w:rPr>
        <w:t xml:space="preserve">onservation </w:t>
      </w:r>
      <w:r>
        <w:rPr>
          <w:sz w:val="22"/>
          <w:szCs w:val="22"/>
        </w:rPr>
        <w:t xml:space="preserve">areas numbered 35 and 36 as described in Section 5 of the </w:t>
      </w:r>
      <w:r w:rsidRPr="00803079">
        <w:rPr>
          <w:i/>
          <w:sz w:val="22"/>
          <w:szCs w:val="22"/>
        </w:rPr>
        <w:t>Biodiversity Conservation Strategy for Melbourne’s Growth Corridors</w:t>
      </w:r>
      <w:r>
        <w:rPr>
          <w:sz w:val="22"/>
          <w:szCs w:val="22"/>
        </w:rPr>
        <w:t xml:space="preserve"> (Victorian Government</w:t>
      </w:r>
      <w:r w:rsidRPr="004B1446">
        <w:rPr>
          <w:sz w:val="22"/>
          <w:szCs w:val="22"/>
        </w:rPr>
        <w:t xml:space="preserve"> </w:t>
      </w:r>
      <w:r>
        <w:rPr>
          <w:sz w:val="22"/>
          <w:szCs w:val="22"/>
        </w:rPr>
        <w:t xml:space="preserve">Department of Environment and Primary Industries, </w:t>
      </w:r>
      <w:r w:rsidRPr="00616278">
        <w:rPr>
          <w:sz w:val="22"/>
          <w:szCs w:val="22"/>
        </w:rPr>
        <w:t>June</w:t>
      </w:r>
      <w:r>
        <w:rPr>
          <w:sz w:val="22"/>
          <w:szCs w:val="22"/>
        </w:rPr>
        <w:t xml:space="preserve"> 2013), unless agreed by the Minister.</w:t>
      </w:r>
    </w:p>
    <w:p w:rsidR="004A0FB0" w:rsidRPr="004B1446" w:rsidRDefault="00677C6A" w:rsidP="004A0FB0">
      <w:pPr>
        <w:spacing w:after="120" w:line="276" w:lineRule="auto"/>
        <w:ind w:right="-142"/>
        <w:rPr>
          <w:i/>
          <w:sz w:val="22"/>
          <w:szCs w:val="22"/>
        </w:rPr>
      </w:pPr>
      <w:r>
        <w:rPr>
          <w:i/>
          <w:sz w:val="22"/>
          <w:szCs w:val="22"/>
        </w:rPr>
        <w:t xml:space="preserve">Habitat compensation requirements </w:t>
      </w:r>
      <w:r w:rsidRPr="004B1446">
        <w:rPr>
          <w:i/>
          <w:sz w:val="22"/>
          <w:szCs w:val="22"/>
        </w:rPr>
        <w:t xml:space="preserve">for actions </w:t>
      </w:r>
      <w:r>
        <w:rPr>
          <w:i/>
          <w:sz w:val="22"/>
          <w:szCs w:val="22"/>
        </w:rPr>
        <w:t xml:space="preserve">potentially </w:t>
      </w:r>
      <w:r w:rsidRPr="004B1446">
        <w:rPr>
          <w:i/>
          <w:sz w:val="22"/>
          <w:szCs w:val="22"/>
        </w:rPr>
        <w:t>affecting listed ecological communities and species</w:t>
      </w:r>
    </w:p>
    <w:p w:rsidR="004A0FB0" w:rsidRDefault="00677C6A" w:rsidP="004A0FB0">
      <w:pPr>
        <w:numPr>
          <w:ilvl w:val="0"/>
          <w:numId w:val="17"/>
        </w:numPr>
        <w:spacing w:after="60" w:line="276" w:lineRule="auto"/>
        <w:ind w:left="357" w:hanging="357"/>
        <w:rPr>
          <w:sz w:val="22"/>
          <w:szCs w:val="22"/>
        </w:rPr>
      </w:pPr>
      <w:r>
        <w:rPr>
          <w:sz w:val="22"/>
          <w:szCs w:val="22"/>
        </w:rPr>
        <w:t>Persons taking actions must comply with the habitat compensation arrangements and fees described in the following documents:</w:t>
      </w:r>
    </w:p>
    <w:p w:rsidR="004A0FB0" w:rsidRDefault="00677C6A" w:rsidP="004A0FB0">
      <w:pPr>
        <w:numPr>
          <w:ilvl w:val="0"/>
          <w:numId w:val="18"/>
        </w:numPr>
        <w:spacing w:after="60" w:line="276" w:lineRule="auto"/>
        <w:ind w:left="714" w:hanging="357"/>
        <w:rPr>
          <w:sz w:val="22"/>
          <w:szCs w:val="22"/>
        </w:rPr>
      </w:pPr>
      <w:r w:rsidRPr="00803079">
        <w:rPr>
          <w:i/>
          <w:sz w:val="22"/>
          <w:szCs w:val="22"/>
        </w:rPr>
        <w:t>Biodiversity Conservation Strategy for Melbourne’s Growth Corridors</w:t>
      </w:r>
      <w:r>
        <w:rPr>
          <w:sz w:val="22"/>
          <w:szCs w:val="22"/>
        </w:rPr>
        <w:t xml:space="preserve"> (Victorian Government</w:t>
      </w:r>
      <w:r w:rsidRPr="004B1446">
        <w:rPr>
          <w:sz w:val="22"/>
          <w:szCs w:val="22"/>
        </w:rPr>
        <w:t xml:space="preserve"> </w:t>
      </w:r>
      <w:r>
        <w:rPr>
          <w:sz w:val="22"/>
          <w:szCs w:val="22"/>
        </w:rPr>
        <w:t xml:space="preserve">Department of Environment and Primary Industries, </w:t>
      </w:r>
      <w:r w:rsidRPr="00616278">
        <w:rPr>
          <w:sz w:val="22"/>
          <w:szCs w:val="22"/>
        </w:rPr>
        <w:t>June</w:t>
      </w:r>
      <w:r>
        <w:rPr>
          <w:sz w:val="22"/>
          <w:szCs w:val="22"/>
        </w:rPr>
        <w:t xml:space="preserve"> 2013)</w:t>
      </w:r>
    </w:p>
    <w:p w:rsidR="004A0FB0" w:rsidRPr="00944397" w:rsidRDefault="00677C6A" w:rsidP="004A0FB0">
      <w:pPr>
        <w:numPr>
          <w:ilvl w:val="0"/>
          <w:numId w:val="18"/>
        </w:numPr>
        <w:spacing w:after="200" w:line="276" w:lineRule="auto"/>
        <w:rPr>
          <w:sz w:val="22"/>
          <w:szCs w:val="22"/>
        </w:rPr>
      </w:pPr>
      <w:r w:rsidRPr="003C5A50">
        <w:rPr>
          <w:i/>
          <w:sz w:val="22"/>
          <w:szCs w:val="22"/>
        </w:rPr>
        <w:t>Habitat compensation under the Biodiversity Conservation Strategy</w:t>
      </w:r>
      <w:r>
        <w:rPr>
          <w:sz w:val="22"/>
          <w:szCs w:val="22"/>
        </w:rPr>
        <w:t xml:space="preserve"> – </w:t>
      </w:r>
      <w:r w:rsidRPr="00B67540">
        <w:rPr>
          <w:i/>
          <w:sz w:val="22"/>
          <w:szCs w:val="22"/>
        </w:rPr>
        <w:t>Melbourne Strategic Assessment</w:t>
      </w:r>
      <w:r>
        <w:rPr>
          <w:sz w:val="22"/>
          <w:szCs w:val="22"/>
        </w:rPr>
        <w:t xml:space="preserve"> (Victorian Government Department of Environment and Primary Industry</w:t>
      </w:r>
      <w:r w:rsidRPr="00944397">
        <w:rPr>
          <w:sz w:val="22"/>
          <w:szCs w:val="22"/>
        </w:rPr>
        <w:t>, June 2013) and as amended by the Victorian Government from time to time.</w:t>
      </w:r>
    </w:p>
    <w:p w:rsidR="004A0FB0" w:rsidRPr="00392A2C" w:rsidRDefault="00677C6A" w:rsidP="004A0FB0">
      <w:pPr>
        <w:spacing w:after="200" w:line="276" w:lineRule="auto"/>
        <w:rPr>
          <w:rFonts w:cs="Arial"/>
          <w:b/>
          <w:sz w:val="22"/>
          <w:szCs w:val="24"/>
        </w:rPr>
      </w:pPr>
      <w:r>
        <w:rPr>
          <w:sz w:val="22"/>
          <w:szCs w:val="22"/>
        </w:rPr>
        <w:br w:type="page"/>
      </w:r>
      <w:r>
        <w:rPr>
          <w:rFonts w:cs="Arial"/>
          <w:b/>
          <w:sz w:val="22"/>
          <w:szCs w:val="24"/>
        </w:rPr>
        <w:lastRenderedPageBreak/>
        <w:t>ANNEXURE 2</w:t>
      </w:r>
    </w:p>
    <w:p w:rsidR="004A0FB0" w:rsidRPr="00961B48" w:rsidRDefault="00677C6A" w:rsidP="004A0FB0">
      <w:pPr>
        <w:spacing w:after="240" w:line="264" w:lineRule="auto"/>
        <w:rPr>
          <w:rFonts w:cs="Arial"/>
          <w:b/>
          <w:caps/>
          <w:sz w:val="22"/>
          <w:szCs w:val="24"/>
        </w:rPr>
      </w:pPr>
      <w:r w:rsidRPr="00961B48">
        <w:rPr>
          <w:rFonts w:cs="Arial"/>
          <w:b/>
          <w:caps/>
          <w:sz w:val="22"/>
          <w:szCs w:val="24"/>
        </w:rPr>
        <w:t>Explanatory information</w:t>
      </w:r>
    </w:p>
    <w:p w:rsidR="004A0FB0" w:rsidRPr="007419D4" w:rsidRDefault="00677C6A" w:rsidP="004A0FB0">
      <w:pPr>
        <w:spacing w:after="120" w:line="264" w:lineRule="auto"/>
        <w:rPr>
          <w:rFonts w:cs="Arial"/>
          <w:b/>
          <w:sz w:val="22"/>
          <w:szCs w:val="24"/>
        </w:rPr>
      </w:pPr>
      <w:r>
        <w:rPr>
          <w:rFonts w:cs="Arial"/>
          <w:b/>
          <w:sz w:val="22"/>
          <w:szCs w:val="24"/>
        </w:rPr>
        <w:t>Background</w:t>
      </w:r>
    </w:p>
    <w:p w:rsidR="004A0FB0" w:rsidRDefault="00677C6A" w:rsidP="004A0FB0">
      <w:pPr>
        <w:spacing w:after="200" w:line="264" w:lineRule="auto"/>
        <w:rPr>
          <w:rFonts w:cs="Arial"/>
          <w:sz w:val="22"/>
          <w:szCs w:val="24"/>
          <w:lang w:eastAsia="en-AU"/>
        </w:rPr>
      </w:pPr>
      <w:r>
        <w:rPr>
          <w:rFonts w:cs="Arial"/>
          <w:sz w:val="22"/>
          <w:szCs w:val="24"/>
          <w:lang w:eastAsia="en-AU"/>
        </w:rPr>
        <w:t>This approval decision is made under section 146B of the</w:t>
      </w:r>
      <w:r w:rsidRPr="00990EB5">
        <w:rPr>
          <w:rFonts w:cs="Arial"/>
          <w:i/>
          <w:sz w:val="22"/>
          <w:szCs w:val="24"/>
          <w:lang w:eastAsia="en-AU"/>
        </w:rPr>
        <w:t xml:space="preserve"> </w:t>
      </w:r>
      <w:r w:rsidRPr="006B17C8">
        <w:rPr>
          <w:rFonts w:cs="Arial"/>
          <w:i/>
          <w:sz w:val="22"/>
          <w:szCs w:val="24"/>
          <w:lang w:eastAsia="en-AU"/>
        </w:rPr>
        <w:t>Environment Protection and Biodiversity Conservation Act 1999</w:t>
      </w:r>
      <w:r>
        <w:rPr>
          <w:rFonts w:cs="Arial"/>
          <w:sz w:val="22"/>
          <w:szCs w:val="24"/>
          <w:lang w:eastAsia="en-AU"/>
        </w:rPr>
        <w:t xml:space="preserve"> (EPBC Act) which provides for the Minister responsible for administering the </w:t>
      </w:r>
      <w:r w:rsidRPr="00990EB5">
        <w:rPr>
          <w:rFonts w:cs="Arial"/>
          <w:sz w:val="22"/>
          <w:szCs w:val="24"/>
          <w:lang w:eastAsia="en-AU"/>
        </w:rPr>
        <w:t xml:space="preserve">Act </w:t>
      </w:r>
      <w:r>
        <w:rPr>
          <w:rFonts w:cs="Arial"/>
          <w:sz w:val="22"/>
          <w:szCs w:val="24"/>
          <w:lang w:eastAsia="en-AU"/>
        </w:rPr>
        <w:t xml:space="preserve">(the Minister) to approve actions, or classes of actions, undertaken in accordance with an endorsed policy, plan or program. An approval under section 146B of the EPBC Act has the same effect as an approval given under Part 9 of the Act. Actions approved under this decision, and taken in compliance with this approval and conditions at </w:t>
      </w:r>
      <w:r w:rsidRPr="00E869B3">
        <w:rPr>
          <w:rFonts w:cs="Arial"/>
          <w:sz w:val="22"/>
          <w:szCs w:val="24"/>
          <w:u w:val="single"/>
          <w:lang w:eastAsia="en-AU"/>
        </w:rPr>
        <w:t>Annexure 1</w:t>
      </w:r>
      <w:r>
        <w:rPr>
          <w:rFonts w:cs="Arial"/>
          <w:sz w:val="22"/>
          <w:szCs w:val="24"/>
          <w:lang w:eastAsia="en-AU"/>
        </w:rPr>
        <w:t>, will not require separate referral, assessment or approval under the EPBC Act in order to be taken.</w:t>
      </w:r>
    </w:p>
    <w:p w:rsidR="004A0FB0" w:rsidRDefault="00677C6A" w:rsidP="004A0FB0">
      <w:pPr>
        <w:spacing w:after="200" w:line="264" w:lineRule="auto"/>
        <w:rPr>
          <w:rFonts w:cs="Arial"/>
          <w:sz w:val="22"/>
          <w:szCs w:val="24"/>
          <w:lang w:eastAsia="en-AU"/>
        </w:rPr>
      </w:pPr>
      <w:r>
        <w:rPr>
          <w:rFonts w:cs="Arial"/>
          <w:sz w:val="22"/>
          <w:szCs w:val="24"/>
          <w:lang w:eastAsia="en-AU"/>
        </w:rPr>
        <w:t xml:space="preserve">On 2 February 2010 the Minister endorsed, pursuant to section 146 of the EPBC Act, the Program of the Victorian Government for Melbourne’s urban growth as described in </w:t>
      </w:r>
      <w:r>
        <w:rPr>
          <w:rFonts w:cs="Arial"/>
          <w:i/>
          <w:sz w:val="22"/>
          <w:szCs w:val="24"/>
          <w:lang w:eastAsia="en-AU"/>
        </w:rPr>
        <w:t>Delivering Melbourne’s Newest Sustainable Communities</w:t>
      </w:r>
      <w:r>
        <w:rPr>
          <w:rFonts w:cs="Arial"/>
          <w:sz w:val="22"/>
          <w:szCs w:val="24"/>
          <w:lang w:eastAsia="en-AU"/>
        </w:rPr>
        <w:t xml:space="preserve"> (Victorian Government, December 2009). The endorsed Program includes actions associated with urban development in four growth corridors </w:t>
      </w:r>
      <w:r>
        <w:rPr>
          <w:sz w:val="22"/>
          <w:szCs w:val="22"/>
        </w:rPr>
        <w:t xml:space="preserve">in the </w:t>
      </w:r>
      <w:r w:rsidRPr="002D2494">
        <w:rPr>
          <w:sz w:val="22"/>
          <w:szCs w:val="22"/>
        </w:rPr>
        <w:t xml:space="preserve">2010 </w:t>
      </w:r>
      <w:r>
        <w:rPr>
          <w:sz w:val="22"/>
          <w:szCs w:val="22"/>
        </w:rPr>
        <w:t xml:space="preserve">Melbourne </w:t>
      </w:r>
      <w:r w:rsidRPr="002D2494">
        <w:rPr>
          <w:sz w:val="22"/>
          <w:szCs w:val="22"/>
        </w:rPr>
        <w:t>Urban Growth Boundary</w:t>
      </w:r>
      <w:r>
        <w:rPr>
          <w:rFonts w:cs="Arial"/>
          <w:sz w:val="22"/>
          <w:szCs w:val="24"/>
          <w:lang w:eastAsia="en-AU"/>
        </w:rPr>
        <w:t xml:space="preserve"> as well as 28 precincts located within t</w:t>
      </w:r>
      <w:r w:rsidRPr="002D2494">
        <w:rPr>
          <w:sz w:val="22"/>
          <w:szCs w:val="22"/>
        </w:rPr>
        <w:t>he 2005 Melbourne Urban Growth</w:t>
      </w:r>
      <w:r>
        <w:rPr>
          <w:sz w:val="22"/>
          <w:szCs w:val="22"/>
        </w:rPr>
        <w:t xml:space="preserve"> Boundary</w:t>
      </w:r>
      <w:r>
        <w:rPr>
          <w:rFonts w:cs="Arial"/>
          <w:sz w:val="22"/>
          <w:szCs w:val="24"/>
          <w:lang w:eastAsia="en-AU"/>
        </w:rPr>
        <w:t xml:space="preserve">. </w:t>
      </w:r>
    </w:p>
    <w:p w:rsidR="004A0FB0" w:rsidRDefault="00677C6A" w:rsidP="004A0FB0">
      <w:pPr>
        <w:spacing w:after="200" w:line="264" w:lineRule="auto"/>
        <w:rPr>
          <w:sz w:val="22"/>
          <w:szCs w:val="22"/>
        </w:rPr>
      </w:pPr>
      <w:r>
        <w:rPr>
          <w:rFonts w:cs="Arial"/>
          <w:sz w:val="22"/>
          <w:szCs w:val="24"/>
          <w:lang w:eastAsia="en-AU"/>
        </w:rPr>
        <w:t>A</w:t>
      </w:r>
      <w:r>
        <w:rPr>
          <w:rFonts w:cs="Arial"/>
          <w:sz w:val="22"/>
          <w:szCs w:val="24"/>
        </w:rPr>
        <w:t>ctions associated with urban development</w:t>
      </w:r>
      <w:r>
        <w:rPr>
          <w:rFonts w:cs="Arial"/>
          <w:sz w:val="22"/>
          <w:szCs w:val="22"/>
          <w:lang w:eastAsia="en-AU"/>
        </w:rPr>
        <w:t xml:space="preserve"> </w:t>
      </w:r>
      <w:r>
        <w:rPr>
          <w:rFonts w:cs="Arial"/>
          <w:sz w:val="22"/>
          <w:szCs w:val="22"/>
        </w:rPr>
        <w:t>within the 28 precincts identified</w:t>
      </w:r>
      <w:r>
        <w:rPr>
          <w:rFonts w:cs="Arial"/>
          <w:sz w:val="22"/>
          <w:szCs w:val="24"/>
        </w:rPr>
        <w:t xml:space="preserve"> on page 17 of the endorsed Program were approved by the Minister on 8 July 2010 subject to </w:t>
      </w:r>
      <w:r>
        <w:rPr>
          <w:sz w:val="22"/>
          <w:szCs w:val="22"/>
        </w:rPr>
        <w:t>prescriptions approved by the Minister for protection of matters of national environmental significance.</w:t>
      </w:r>
    </w:p>
    <w:p w:rsidR="004A0FB0" w:rsidRDefault="00677C6A" w:rsidP="004A0FB0">
      <w:pPr>
        <w:spacing w:after="200" w:line="264" w:lineRule="auto"/>
        <w:rPr>
          <w:sz w:val="22"/>
          <w:szCs w:val="22"/>
        </w:rPr>
      </w:pPr>
      <w:r>
        <w:rPr>
          <w:sz w:val="22"/>
          <w:szCs w:val="22"/>
        </w:rPr>
        <w:t xml:space="preserve">The endorsed Program included a commitment by the Victorian Government to prepare a </w:t>
      </w:r>
      <w:r w:rsidRPr="00904F3D">
        <w:rPr>
          <w:i/>
          <w:sz w:val="22"/>
          <w:szCs w:val="22"/>
        </w:rPr>
        <w:t>Biodiversity Conservation Strategy</w:t>
      </w:r>
      <w:r>
        <w:rPr>
          <w:sz w:val="22"/>
          <w:szCs w:val="22"/>
        </w:rPr>
        <w:t xml:space="preserve"> for the four growth corridors, and accompanying sub-regional strategies for the Growling Grass Frog, Golden Sun Moth and Southern Brown Bandicoot, and for these strategies to be approved by the Minister.</w:t>
      </w:r>
    </w:p>
    <w:p w:rsidR="004A0FB0" w:rsidRDefault="00677C6A" w:rsidP="004A0FB0">
      <w:pPr>
        <w:spacing w:after="120" w:line="264" w:lineRule="auto"/>
        <w:rPr>
          <w:sz w:val="22"/>
          <w:szCs w:val="22"/>
        </w:rPr>
      </w:pPr>
      <w:r>
        <w:rPr>
          <w:sz w:val="22"/>
          <w:szCs w:val="22"/>
        </w:rPr>
        <w:t>The Minister has subsequently approved the following strategies:</w:t>
      </w:r>
    </w:p>
    <w:p w:rsidR="004A0FB0" w:rsidRPr="00B2491F" w:rsidRDefault="00677C6A" w:rsidP="004A0FB0">
      <w:pPr>
        <w:numPr>
          <w:ilvl w:val="0"/>
          <w:numId w:val="16"/>
        </w:numPr>
        <w:spacing w:after="120" w:line="264" w:lineRule="auto"/>
        <w:rPr>
          <w:rFonts w:cs="Arial"/>
          <w:sz w:val="22"/>
          <w:szCs w:val="22"/>
        </w:rPr>
      </w:pPr>
      <w:r w:rsidRPr="00803079">
        <w:rPr>
          <w:i/>
          <w:sz w:val="22"/>
          <w:szCs w:val="22"/>
        </w:rPr>
        <w:t>Biodiversity Conservation Strategy for Melbourne’s Growth Corridors</w:t>
      </w:r>
      <w:r>
        <w:rPr>
          <w:sz w:val="22"/>
          <w:szCs w:val="22"/>
        </w:rPr>
        <w:t xml:space="preserve"> (Victorian Government Department of Environment and Primary Industries, </w:t>
      </w:r>
      <w:r w:rsidRPr="00693C6C">
        <w:rPr>
          <w:sz w:val="22"/>
          <w:szCs w:val="22"/>
        </w:rPr>
        <w:t>June</w:t>
      </w:r>
      <w:r>
        <w:rPr>
          <w:sz w:val="22"/>
          <w:szCs w:val="22"/>
        </w:rPr>
        <w:t xml:space="preserve"> 2013)</w:t>
      </w:r>
    </w:p>
    <w:p w:rsidR="004A0FB0" w:rsidRPr="00B2491F" w:rsidRDefault="00677C6A" w:rsidP="004A0FB0">
      <w:pPr>
        <w:numPr>
          <w:ilvl w:val="0"/>
          <w:numId w:val="16"/>
        </w:numPr>
        <w:spacing w:after="120" w:line="264" w:lineRule="auto"/>
        <w:rPr>
          <w:rFonts w:cs="Arial"/>
          <w:sz w:val="22"/>
          <w:szCs w:val="22"/>
        </w:rPr>
      </w:pPr>
      <w:r w:rsidRPr="00803079">
        <w:rPr>
          <w:i/>
          <w:sz w:val="22"/>
          <w:szCs w:val="22"/>
        </w:rPr>
        <w:t xml:space="preserve">Sub-regional </w:t>
      </w:r>
      <w:r>
        <w:rPr>
          <w:i/>
          <w:sz w:val="22"/>
          <w:szCs w:val="22"/>
        </w:rPr>
        <w:t xml:space="preserve">Species </w:t>
      </w:r>
      <w:r w:rsidRPr="00DF50D7">
        <w:rPr>
          <w:i/>
          <w:sz w:val="22"/>
          <w:szCs w:val="22"/>
        </w:rPr>
        <w:t>Strategy for the</w:t>
      </w:r>
      <w:r>
        <w:rPr>
          <w:sz w:val="22"/>
          <w:szCs w:val="22"/>
        </w:rPr>
        <w:t xml:space="preserve"> </w:t>
      </w:r>
      <w:r w:rsidRPr="00803079">
        <w:rPr>
          <w:i/>
          <w:sz w:val="22"/>
          <w:szCs w:val="22"/>
        </w:rPr>
        <w:t xml:space="preserve">Golden Sun Moth </w:t>
      </w:r>
      <w:r>
        <w:rPr>
          <w:sz w:val="22"/>
          <w:szCs w:val="22"/>
        </w:rPr>
        <w:t>(Victorian Government Department of Environment and Primary Industries, May 2013)</w:t>
      </w:r>
    </w:p>
    <w:p w:rsidR="004A0FB0" w:rsidRPr="00193472" w:rsidRDefault="00677C6A" w:rsidP="004A0FB0">
      <w:pPr>
        <w:numPr>
          <w:ilvl w:val="0"/>
          <w:numId w:val="16"/>
        </w:numPr>
        <w:spacing w:after="200" w:line="264" w:lineRule="auto"/>
        <w:ind w:left="714" w:hanging="357"/>
        <w:rPr>
          <w:rFonts w:cs="Arial"/>
          <w:sz w:val="22"/>
          <w:szCs w:val="22"/>
        </w:rPr>
      </w:pPr>
      <w:r w:rsidRPr="00803079">
        <w:rPr>
          <w:i/>
          <w:sz w:val="22"/>
          <w:szCs w:val="22"/>
        </w:rPr>
        <w:t xml:space="preserve">Sub-regional </w:t>
      </w:r>
      <w:r>
        <w:rPr>
          <w:i/>
          <w:sz w:val="22"/>
          <w:szCs w:val="22"/>
        </w:rPr>
        <w:t xml:space="preserve">Species </w:t>
      </w:r>
      <w:r w:rsidRPr="006E1C4D">
        <w:rPr>
          <w:i/>
          <w:sz w:val="22"/>
          <w:szCs w:val="22"/>
        </w:rPr>
        <w:t>Strategy for the Growling</w:t>
      </w:r>
      <w:r w:rsidRPr="00803079">
        <w:rPr>
          <w:i/>
          <w:sz w:val="22"/>
          <w:szCs w:val="22"/>
        </w:rPr>
        <w:t xml:space="preserve"> Grass Frog </w:t>
      </w:r>
      <w:r>
        <w:rPr>
          <w:sz w:val="22"/>
          <w:szCs w:val="22"/>
        </w:rPr>
        <w:t>(Victorian Government Department of Environment and Primary Industries, May 2013)</w:t>
      </w:r>
    </w:p>
    <w:p w:rsidR="004A0FB0" w:rsidRPr="00193472" w:rsidRDefault="00677C6A" w:rsidP="004A0FB0">
      <w:pPr>
        <w:numPr>
          <w:ilvl w:val="0"/>
          <w:numId w:val="16"/>
        </w:numPr>
        <w:spacing w:after="240" w:line="264" w:lineRule="auto"/>
        <w:rPr>
          <w:rFonts w:cs="Arial"/>
          <w:sz w:val="22"/>
          <w:szCs w:val="22"/>
        </w:rPr>
      </w:pPr>
      <w:r w:rsidRPr="00803079">
        <w:rPr>
          <w:i/>
          <w:sz w:val="22"/>
          <w:szCs w:val="22"/>
        </w:rPr>
        <w:t xml:space="preserve">Sub-regional </w:t>
      </w:r>
      <w:r>
        <w:rPr>
          <w:i/>
          <w:sz w:val="22"/>
          <w:szCs w:val="22"/>
        </w:rPr>
        <w:t xml:space="preserve">Species </w:t>
      </w:r>
      <w:r w:rsidRPr="00803079">
        <w:rPr>
          <w:i/>
          <w:sz w:val="22"/>
          <w:szCs w:val="22"/>
        </w:rPr>
        <w:t>Strategy</w:t>
      </w:r>
      <w:r>
        <w:rPr>
          <w:sz w:val="22"/>
          <w:szCs w:val="22"/>
        </w:rPr>
        <w:t xml:space="preserve"> </w:t>
      </w:r>
      <w:r w:rsidRPr="00B67540">
        <w:rPr>
          <w:i/>
          <w:sz w:val="22"/>
          <w:szCs w:val="22"/>
        </w:rPr>
        <w:t xml:space="preserve">for the </w:t>
      </w:r>
      <w:r>
        <w:rPr>
          <w:i/>
          <w:sz w:val="22"/>
          <w:szCs w:val="22"/>
        </w:rPr>
        <w:t xml:space="preserve">Southern Brown Bandicoot </w:t>
      </w:r>
      <w:r>
        <w:rPr>
          <w:sz w:val="22"/>
          <w:szCs w:val="22"/>
        </w:rPr>
        <w:t xml:space="preserve">(Victorian Government Department of Environment and Primary Industries, January 2014) and </w:t>
      </w:r>
      <w:r w:rsidRPr="00803079">
        <w:rPr>
          <w:i/>
          <w:sz w:val="22"/>
          <w:szCs w:val="22"/>
        </w:rPr>
        <w:t xml:space="preserve">Sub-regional </w:t>
      </w:r>
      <w:r>
        <w:rPr>
          <w:i/>
          <w:sz w:val="22"/>
          <w:szCs w:val="22"/>
        </w:rPr>
        <w:t xml:space="preserve">Species </w:t>
      </w:r>
      <w:r w:rsidRPr="00803079">
        <w:rPr>
          <w:i/>
          <w:sz w:val="22"/>
          <w:szCs w:val="22"/>
        </w:rPr>
        <w:t>Strategy</w:t>
      </w:r>
      <w:r>
        <w:rPr>
          <w:sz w:val="22"/>
          <w:szCs w:val="22"/>
        </w:rPr>
        <w:t xml:space="preserve"> </w:t>
      </w:r>
      <w:r w:rsidRPr="00B67540">
        <w:rPr>
          <w:i/>
          <w:sz w:val="22"/>
          <w:szCs w:val="22"/>
        </w:rPr>
        <w:t xml:space="preserve">for the </w:t>
      </w:r>
      <w:r>
        <w:rPr>
          <w:i/>
          <w:sz w:val="22"/>
          <w:szCs w:val="22"/>
        </w:rPr>
        <w:t xml:space="preserve">Southern Brown Bandicoot </w:t>
      </w:r>
      <w:r w:rsidRPr="00642052">
        <w:rPr>
          <w:i/>
          <w:sz w:val="22"/>
          <w:szCs w:val="22"/>
        </w:rPr>
        <w:t>Supplement: Habitat Connectivity</w:t>
      </w:r>
      <w:r w:rsidRPr="00642052">
        <w:rPr>
          <w:sz w:val="22"/>
          <w:szCs w:val="22"/>
        </w:rPr>
        <w:t xml:space="preserve"> (Victorian Government Department of Environment and Primary Industries, July</w:t>
      </w:r>
      <w:r>
        <w:rPr>
          <w:sz w:val="22"/>
          <w:szCs w:val="22"/>
        </w:rPr>
        <w:t xml:space="preserve"> 2014).</w:t>
      </w:r>
    </w:p>
    <w:p w:rsidR="004A0FB0" w:rsidRPr="006E5574" w:rsidRDefault="00677C6A" w:rsidP="004A0FB0">
      <w:pPr>
        <w:spacing w:after="200" w:line="264" w:lineRule="auto"/>
        <w:rPr>
          <w:rFonts w:cs="Arial"/>
          <w:sz w:val="22"/>
          <w:szCs w:val="22"/>
        </w:rPr>
      </w:pPr>
      <w:r>
        <w:rPr>
          <w:rFonts w:cs="Arial"/>
          <w:sz w:val="22"/>
          <w:szCs w:val="22"/>
        </w:rPr>
        <w:t xml:space="preserve">The </w:t>
      </w:r>
      <w:r w:rsidRPr="000D19F7">
        <w:rPr>
          <w:rFonts w:cs="Arial"/>
          <w:i/>
          <w:sz w:val="22"/>
          <w:szCs w:val="22"/>
        </w:rPr>
        <w:t>Biodiversity Conservation Strategy</w:t>
      </w:r>
      <w:r w:rsidRPr="006E5574">
        <w:rPr>
          <w:rFonts w:cs="Arial"/>
          <w:sz w:val="22"/>
          <w:szCs w:val="22"/>
        </w:rPr>
        <w:t xml:space="preserve"> has applied the protection</w:t>
      </w:r>
      <w:r>
        <w:rPr>
          <w:rFonts w:cs="Arial"/>
          <w:sz w:val="22"/>
          <w:szCs w:val="22"/>
        </w:rPr>
        <w:t xml:space="preserve"> </w:t>
      </w:r>
      <w:r w:rsidRPr="006E5574">
        <w:rPr>
          <w:rFonts w:cs="Arial"/>
          <w:sz w:val="22"/>
          <w:szCs w:val="22"/>
        </w:rPr>
        <w:t>requirements of the approved prescriptions to</w:t>
      </w:r>
      <w:r>
        <w:rPr>
          <w:rFonts w:cs="Arial"/>
          <w:sz w:val="22"/>
          <w:szCs w:val="22"/>
        </w:rPr>
        <w:t xml:space="preserve"> </w:t>
      </w:r>
      <w:r w:rsidRPr="006E5574">
        <w:rPr>
          <w:rFonts w:cs="Arial"/>
          <w:sz w:val="22"/>
          <w:szCs w:val="22"/>
        </w:rPr>
        <w:t>identify conservation areas. The requirements</w:t>
      </w:r>
      <w:r>
        <w:rPr>
          <w:rFonts w:cs="Arial"/>
          <w:sz w:val="22"/>
          <w:szCs w:val="22"/>
        </w:rPr>
        <w:t xml:space="preserve"> </w:t>
      </w:r>
      <w:r w:rsidRPr="006E5574">
        <w:rPr>
          <w:rFonts w:cs="Arial"/>
          <w:sz w:val="22"/>
          <w:szCs w:val="22"/>
        </w:rPr>
        <w:t>in the prescriptions relating to offsetting,</w:t>
      </w:r>
      <w:r>
        <w:rPr>
          <w:rFonts w:cs="Arial"/>
          <w:sz w:val="22"/>
          <w:szCs w:val="22"/>
        </w:rPr>
        <w:t xml:space="preserve"> </w:t>
      </w:r>
      <w:r w:rsidRPr="006E5574">
        <w:rPr>
          <w:rFonts w:cs="Arial"/>
          <w:sz w:val="22"/>
          <w:szCs w:val="22"/>
        </w:rPr>
        <w:t>salvage and translocation and conservation</w:t>
      </w:r>
      <w:r>
        <w:rPr>
          <w:rFonts w:cs="Arial"/>
          <w:sz w:val="22"/>
          <w:szCs w:val="22"/>
        </w:rPr>
        <w:t xml:space="preserve"> management plans have </w:t>
      </w:r>
      <w:r w:rsidRPr="006E5574">
        <w:rPr>
          <w:rFonts w:cs="Arial"/>
          <w:sz w:val="22"/>
          <w:szCs w:val="22"/>
        </w:rPr>
        <w:t>been incorporated</w:t>
      </w:r>
      <w:r>
        <w:rPr>
          <w:rFonts w:cs="Arial"/>
          <w:sz w:val="22"/>
          <w:szCs w:val="22"/>
        </w:rPr>
        <w:t xml:space="preserve"> </w:t>
      </w:r>
      <w:r w:rsidRPr="006E5574">
        <w:rPr>
          <w:rFonts w:cs="Arial"/>
          <w:sz w:val="22"/>
          <w:szCs w:val="22"/>
        </w:rPr>
        <w:t>into t</w:t>
      </w:r>
      <w:r>
        <w:rPr>
          <w:rFonts w:cs="Arial"/>
          <w:sz w:val="22"/>
          <w:szCs w:val="22"/>
        </w:rPr>
        <w:t xml:space="preserve">he </w:t>
      </w:r>
      <w:r w:rsidRPr="000D19F7">
        <w:rPr>
          <w:rFonts w:cs="Arial"/>
          <w:i/>
          <w:sz w:val="22"/>
          <w:szCs w:val="22"/>
        </w:rPr>
        <w:t>Biodiversity Conservation Strategy</w:t>
      </w:r>
      <w:r w:rsidRPr="006E5574">
        <w:rPr>
          <w:rFonts w:cs="Arial"/>
          <w:sz w:val="22"/>
          <w:szCs w:val="22"/>
        </w:rPr>
        <w:t xml:space="preserve">. </w:t>
      </w:r>
      <w:r>
        <w:rPr>
          <w:rFonts w:cs="Arial"/>
          <w:sz w:val="22"/>
          <w:szCs w:val="22"/>
        </w:rPr>
        <w:t>I</w:t>
      </w:r>
      <w:r w:rsidRPr="006E5574">
        <w:rPr>
          <w:rFonts w:cs="Arial"/>
          <w:sz w:val="22"/>
          <w:szCs w:val="22"/>
        </w:rPr>
        <w:t xml:space="preserve">mplementation of the </w:t>
      </w:r>
      <w:r w:rsidRPr="000D19F7">
        <w:rPr>
          <w:rFonts w:cs="Arial"/>
          <w:i/>
          <w:sz w:val="22"/>
          <w:szCs w:val="22"/>
        </w:rPr>
        <w:t>Biodiversity Conservation Strategy</w:t>
      </w:r>
      <w:r w:rsidRPr="006E5574">
        <w:rPr>
          <w:rFonts w:cs="Arial"/>
          <w:sz w:val="22"/>
          <w:szCs w:val="22"/>
        </w:rPr>
        <w:t xml:space="preserve"> will therefore give effect to the prescriptions to ensure protection of matters of national environmental significance. </w:t>
      </w:r>
    </w:p>
    <w:p w:rsidR="004A0FB0" w:rsidRDefault="00677C6A" w:rsidP="004A0FB0">
      <w:pPr>
        <w:spacing w:after="200" w:line="264" w:lineRule="auto"/>
        <w:rPr>
          <w:rFonts w:cs="Arial"/>
          <w:sz w:val="22"/>
          <w:szCs w:val="22"/>
        </w:rPr>
      </w:pPr>
      <w:r w:rsidRPr="006E5574">
        <w:rPr>
          <w:rFonts w:cs="Arial"/>
          <w:sz w:val="22"/>
          <w:szCs w:val="22"/>
        </w:rPr>
        <w:t xml:space="preserve">Compliance with the </w:t>
      </w:r>
      <w:r w:rsidRPr="000D19F7">
        <w:rPr>
          <w:rFonts w:cs="Arial"/>
          <w:i/>
          <w:sz w:val="22"/>
          <w:szCs w:val="22"/>
        </w:rPr>
        <w:t>Biodiversity Conservation Strategy</w:t>
      </w:r>
      <w:r w:rsidRPr="006E5574">
        <w:rPr>
          <w:rFonts w:cs="Arial"/>
          <w:sz w:val="22"/>
          <w:szCs w:val="22"/>
        </w:rPr>
        <w:t xml:space="preserve"> will satisfy the requirements of the prescriptions in relation to</w:t>
      </w:r>
      <w:r>
        <w:rPr>
          <w:rFonts w:cs="Arial"/>
          <w:sz w:val="22"/>
          <w:szCs w:val="22"/>
        </w:rPr>
        <w:t xml:space="preserve"> the </w:t>
      </w:r>
      <w:r w:rsidRPr="006E5574">
        <w:rPr>
          <w:rFonts w:cs="Arial"/>
          <w:sz w:val="22"/>
          <w:szCs w:val="22"/>
        </w:rPr>
        <w:t>existing 28 precincts for which a</w:t>
      </w:r>
      <w:r>
        <w:rPr>
          <w:rFonts w:cs="Arial"/>
          <w:sz w:val="22"/>
          <w:szCs w:val="22"/>
        </w:rPr>
        <w:t xml:space="preserve"> </w:t>
      </w:r>
      <w:r w:rsidRPr="006E5574">
        <w:rPr>
          <w:rFonts w:cs="Arial"/>
          <w:sz w:val="22"/>
          <w:szCs w:val="22"/>
        </w:rPr>
        <w:t>planning scheme amendment to introduce</w:t>
      </w:r>
      <w:r>
        <w:rPr>
          <w:rFonts w:cs="Arial"/>
          <w:sz w:val="22"/>
          <w:szCs w:val="22"/>
        </w:rPr>
        <w:t xml:space="preserve"> </w:t>
      </w:r>
      <w:r w:rsidRPr="006E5574">
        <w:rPr>
          <w:rFonts w:cs="Arial"/>
          <w:sz w:val="22"/>
          <w:szCs w:val="22"/>
        </w:rPr>
        <w:t>a precinct structure plan is approved after</w:t>
      </w:r>
      <w:r>
        <w:rPr>
          <w:rFonts w:cs="Arial"/>
          <w:sz w:val="22"/>
          <w:szCs w:val="22"/>
        </w:rPr>
        <w:t xml:space="preserve"> </w:t>
      </w:r>
      <w:r w:rsidRPr="006E5574">
        <w:rPr>
          <w:rFonts w:cs="Arial"/>
          <w:sz w:val="22"/>
          <w:szCs w:val="22"/>
        </w:rPr>
        <w:t>1 March 2012, as well as the Truganina</w:t>
      </w:r>
      <w:r>
        <w:rPr>
          <w:rFonts w:cs="Arial"/>
          <w:sz w:val="22"/>
          <w:szCs w:val="22"/>
        </w:rPr>
        <w:t xml:space="preserve"> </w:t>
      </w:r>
      <w:r w:rsidRPr="006E5574">
        <w:rPr>
          <w:rFonts w:cs="Arial"/>
          <w:sz w:val="22"/>
          <w:szCs w:val="22"/>
        </w:rPr>
        <w:t>Employment Area</w:t>
      </w:r>
      <w:r>
        <w:rPr>
          <w:rFonts w:cs="Arial"/>
          <w:sz w:val="22"/>
          <w:szCs w:val="22"/>
        </w:rPr>
        <w:t xml:space="preserve"> (described at page 4 and shown in Figures 1 and 2 of the approved </w:t>
      </w:r>
      <w:r w:rsidRPr="000D19F7">
        <w:rPr>
          <w:rFonts w:cs="Arial"/>
          <w:i/>
          <w:sz w:val="22"/>
          <w:szCs w:val="22"/>
        </w:rPr>
        <w:t>Biodiversity Conservation Strategy</w:t>
      </w:r>
      <w:r>
        <w:rPr>
          <w:rFonts w:cs="Arial"/>
          <w:sz w:val="22"/>
          <w:szCs w:val="22"/>
        </w:rPr>
        <w:t xml:space="preserve">). </w:t>
      </w:r>
    </w:p>
    <w:p w:rsidR="004A0FB0" w:rsidRDefault="00677C6A" w:rsidP="004A0FB0">
      <w:pPr>
        <w:spacing w:after="200" w:line="264" w:lineRule="auto"/>
        <w:rPr>
          <w:sz w:val="22"/>
          <w:szCs w:val="22"/>
        </w:rPr>
      </w:pPr>
      <w:r>
        <w:rPr>
          <w:rFonts w:cs="Arial"/>
          <w:sz w:val="22"/>
          <w:szCs w:val="22"/>
        </w:rPr>
        <w:t xml:space="preserve">To remove doubt, compliance with the </w:t>
      </w:r>
      <w:r w:rsidRPr="000D19F7">
        <w:rPr>
          <w:rFonts w:cs="Arial"/>
          <w:i/>
          <w:sz w:val="22"/>
          <w:szCs w:val="22"/>
        </w:rPr>
        <w:t>Biodiversity Conservation Strategy</w:t>
      </w:r>
      <w:r>
        <w:rPr>
          <w:rFonts w:cs="Arial"/>
          <w:sz w:val="22"/>
          <w:szCs w:val="22"/>
        </w:rPr>
        <w:t xml:space="preserve"> will fully meet the requirements of </w:t>
      </w:r>
      <w:r>
        <w:rPr>
          <w:sz w:val="22"/>
          <w:szCs w:val="22"/>
        </w:rPr>
        <w:t xml:space="preserve">the approval made by the Minister on 8 July 2010 for the precincts included in the approved </w:t>
      </w:r>
      <w:r w:rsidRPr="000D19F7">
        <w:rPr>
          <w:rFonts w:cs="Arial"/>
          <w:i/>
          <w:sz w:val="22"/>
          <w:szCs w:val="22"/>
        </w:rPr>
        <w:t>Biodiversity Conservation Strategy</w:t>
      </w:r>
      <w:r>
        <w:rPr>
          <w:sz w:val="22"/>
          <w:szCs w:val="22"/>
        </w:rPr>
        <w:t xml:space="preserve">. The previous approval made on 8 July 2012 continues to apply for the remainder of the 28 precincts. There are also several </w:t>
      </w:r>
      <w:r w:rsidRPr="00944397">
        <w:rPr>
          <w:sz w:val="22"/>
          <w:szCs w:val="22"/>
        </w:rPr>
        <w:t>additional areas of land within specified precincts in the growth corridors for which the prescription for Golden Sun Moth will continue</w:t>
      </w:r>
      <w:r>
        <w:rPr>
          <w:sz w:val="22"/>
          <w:szCs w:val="22"/>
        </w:rPr>
        <w:t xml:space="preserve"> to apply, as listed at page 16 of the </w:t>
      </w:r>
      <w:r w:rsidRPr="00833E7D">
        <w:rPr>
          <w:i/>
          <w:sz w:val="22"/>
          <w:szCs w:val="22"/>
        </w:rPr>
        <w:t>Biodiversity Conservation Strategy</w:t>
      </w:r>
      <w:r>
        <w:rPr>
          <w:sz w:val="22"/>
          <w:szCs w:val="22"/>
        </w:rPr>
        <w:t>.</w:t>
      </w:r>
    </w:p>
    <w:p w:rsidR="004A0FB0" w:rsidRPr="00D45B3F" w:rsidRDefault="00677C6A" w:rsidP="004A0FB0">
      <w:pPr>
        <w:spacing w:after="240" w:line="264" w:lineRule="auto"/>
        <w:rPr>
          <w:sz w:val="22"/>
          <w:szCs w:val="22"/>
        </w:rPr>
      </w:pPr>
      <w:r>
        <w:rPr>
          <w:sz w:val="22"/>
          <w:szCs w:val="22"/>
        </w:rPr>
        <w:t xml:space="preserve">In implementing this approval, the endorsed Program and approved </w:t>
      </w:r>
      <w:r w:rsidRPr="00803079">
        <w:rPr>
          <w:i/>
          <w:sz w:val="22"/>
          <w:szCs w:val="22"/>
        </w:rPr>
        <w:t xml:space="preserve">Biodiversity Conservation Strategy </w:t>
      </w:r>
      <w:r>
        <w:rPr>
          <w:sz w:val="22"/>
          <w:szCs w:val="22"/>
        </w:rPr>
        <w:t>will provide the basis for any necessary interpretation and resolution. The Minister will provide final interpretation and guidance if required.</w:t>
      </w:r>
    </w:p>
    <w:p w:rsidR="004A0FB0" w:rsidRPr="007056C0" w:rsidRDefault="00677C6A" w:rsidP="004A0FB0">
      <w:pPr>
        <w:spacing w:after="120" w:line="264" w:lineRule="auto"/>
        <w:rPr>
          <w:b/>
          <w:sz w:val="22"/>
          <w:szCs w:val="22"/>
          <w:lang w:val="en-US"/>
        </w:rPr>
      </w:pPr>
      <w:r w:rsidRPr="007056C0">
        <w:rPr>
          <w:b/>
          <w:sz w:val="22"/>
          <w:szCs w:val="22"/>
          <w:lang w:val="en-US"/>
        </w:rPr>
        <w:t>Approval conditions</w:t>
      </w:r>
    </w:p>
    <w:p w:rsidR="004A0FB0" w:rsidRDefault="00677C6A" w:rsidP="004A0FB0">
      <w:pPr>
        <w:spacing w:after="200" w:line="276" w:lineRule="auto"/>
        <w:rPr>
          <w:sz w:val="22"/>
          <w:szCs w:val="22"/>
        </w:rPr>
      </w:pPr>
      <w:r>
        <w:rPr>
          <w:sz w:val="22"/>
          <w:szCs w:val="22"/>
        </w:rPr>
        <w:t xml:space="preserve">The approval conditions require actions (whether individually or collectively) to fully comply with the approved </w:t>
      </w:r>
      <w:r w:rsidRPr="00574CC1">
        <w:rPr>
          <w:i/>
          <w:sz w:val="22"/>
          <w:szCs w:val="22"/>
        </w:rPr>
        <w:t>Biodiversity Conservation Strategy</w:t>
      </w:r>
      <w:r>
        <w:rPr>
          <w:sz w:val="22"/>
          <w:szCs w:val="22"/>
        </w:rPr>
        <w:t xml:space="preserve"> and sub-regional species strategies for Golden Sun Moth, Growling Grass Frog and Southern Brown Bandicoot (including the habitat connectivity supplement) for avoidance, mitigation and offset of impacts on matters of national environmental significance. In addition, all actions must comply with the habitat compensation arrangements and fees described in the document </w:t>
      </w:r>
      <w:r w:rsidRPr="003C5A50">
        <w:rPr>
          <w:i/>
          <w:sz w:val="22"/>
          <w:szCs w:val="22"/>
        </w:rPr>
        <w:t>Habitat compensation under the Biodiversity Conservation Strategy</w:t>
      </w:r>
      <w:r>
        <w:rPr>
          <w:i/>
          <w:sz w:val="22"/>
          <w:szCs w:val="22"/>
        </w:rPr>
        <w:t xml:space="preserve"> – Melbourne Strategic Assessment</w:t>
      </w:r>
      <w:r>
        <w:rPr>
          <w:sz w:val="22"/>
          <w:szCs w:val="22"/>
        </w:rPr>
        <w:t xml:space="preserve"> (Victorian Government Department of Environment and Primary Industry, August 2013) and as amended from time to time by the Victorian Government.</w:t>
      </w:r>
    </w:p>
    <w:p w:rsidR="004A0FB0" w:rsidRDefault="00677C6A" w:rsidP="004A0FB0">
      <w:pPr>
        <w:spacing w:after="200" w:line="276" w:lineRule="auto"/>
        <w:rPr>
          <w:sz w:val="22"/>
          <w:szCs w:val="22"/>
        </w:rPr>
      </w:pPr>
      <w:r>
        <w:rPr>
          <w:sz w:val="22"/>
          <w:szCs w:val="22"/>
        </w:rPr>
        <w:t>Approval condition (2) states that no actions associated with urban development,</w:t>
      </w:r>
      <w:r w:rsidRPr="009952EE">
        <w:rPr>
          <w:sz w:val="22"/>
          <w:szCs w:val="22"/>
        </w:rPr>
        <w:t xml:space="preserve"> </w:t>
      </w:r>
      <w:r>
        <w:rPr>
          <w:sz w:val="22"/>
          <w:szCs w:val="22"/>
        </w:rPr>
        <w:t>resulting in a net loss of habitat for listed ecological communities and listed species, will occur in the c</w:t>
      </w:r>
      <w:r w:rsidRPr="0038244D">
        <w:rPr>
          <w:sz w:val="22"/>
          <w:szCs w:val="22"/>
        </w:rPr>
        <w:t xml:space="preserve">onservation </w:t>
      </w:r>
      <w:r>
        <w:rPr>
          <w:sz w:val="22"/>
          <w:szCs w:val="22"/>
        </w:rPr>
        <w:t xml:space="preserve">areas 35 or 36 described at Section 5 (and identified in Figures 50 and 51) of the </w:t>
      </w:r>
      <w:r w:rsidRPr="00803079">
        <w:rPr>
          <w:i/>
          <w:sz w:val="22"/>
          <w:szCs w:val="22"/>
        </w:rPr>
        <w:t>Biodiversity Conservation Strateg</w:t>
      </w:r>
      <w:r>
        <w:rPr>
          <w:i/>
          <w:sz w:val="22"/>
          <w:szCs w:val="22"/>
        </w:rPr>
        <w:t>y,</w:t>
      </w:r>
      <w:r>
        <w:rPr>
          <w:sz w:val="22"/>
          <w:szCs w:val="22"/>
        </w:rPr>
        <w:t xml:space="preserve"> unless agreed by the Minister. This is to ensure that urban-related developments, such as roads, bridges and utility corridors, do not erode the values of the conservation areas for matters of national environmental significance over time.</w:t>
      </w:r>
    </w:p>
    <w:p w:rsidR="004A0FB0" w:rsidRDefault="00677C6A" w:rsidP="004A0FB0">
      <w:pPr>
        <w:spacing w:after="240" w:line="264" w:lineRule="auto"/>
        <w:rPr>
          <w:sz w:val="22"/>
          <w:szCs w:val="22"/>
        </w:rPr>
      </w:pPr>
      <w:r>
        <w:rPr>
          <w:sz w:val="22"/>
          <w:szCs w:val="22"/>
        </w:rPr>
        <w:t>Condition (2) does not require approval for actions where there is no net loss in habitat for an individual conservation area. Habitat means an area of land containing a listed ecological community under the EPBC Act or supporting individuals or populations of listed threatened species under the EPBC Act. The condition recognises that there may be instances where urban infrastructure cannot be avoided and there could be a net loss of habitat in an individual conservation area. Such instances will need to be approved by the Minister. Instances may be approved if there are no reasonable alternatives, there is a net conservation gain elsewhere for the relevant protected matters and it can be demonstrated that the values of the conservation area will be maintained.</w:t>
      </w:r>
    </w:p>
    <w:p w:rsidR="004A0FB0" w:rsidRPr="00944397" w:rsidRDefault="00677C6A" w:rsidP="004A0FB0">
      <w:pPr>
        <w:spacing w:after="200" w:line="276" w:lineRule="auto"/>
        <w:rPr>
          <w:sz w:val="22"/>
          <w:szCs w:val="22"/>
        </w:rPr>
      </w:pPr>
      <w:r>
        <w:rPr>
          <w:sz w:val="22"/>
          <w:szCs w:val="22"/>
        </w:rPr>
        <w:t xml:space="preserve">Approval condition (3) states that no actions that could result in, or facilitate, </w:t>
      </w:r>
      <w:r w:rsidRPr="00944397">
        <w:rPr>
          <w:sz w:val="22"/>
          <w:szCs w:val="22"/>
        </w:rPr>
        <w:t xml:space="preserve">a </w:t>
      </w:r>
      <w:r w:rsidRPr="00944397">
        <w:rPr>
          <w:i/>
          <w:sz w:val="22"/>
          <w:szCs w:val="22"/>
        </w:rPr>
        <w:t>net loss of area</w:t>
      </w:r>
      <w:r w:rsidRPr="00944397">
        <w:rPr>
          <w:sz w:val="22"/>
          <w:szCs w:val="22"/>
        </w:rPr>
        <w:t xml:space="preserve"> of the specified conservation areas can occur unless agreed by the Minister. The </w:t>
      </w:r>
      <w:r w:rsidRPr="00944397">
        <w:rPr>
          <w:i/>
          <w:sz w:val="22"/>
          <w:szCs w:val="22"/>
        </w:rPr>
        <w:t>Biodiversity Conservation Strategy</w:t>
      </w:r>
      <w:r w:rsidRPr="00944397">
        <w:rPr>
          <w:sz w:val="22"/>
          <w:szCs w:val="22"/>
        </w:rPr>
        <w:t xml:space="preserve"> (Section 5) provides for minor changes to the boundaries of the specified conservation areas. This is permitted under the condition provided there is no net loss in the area.</w:t>
      </w:r>
    </w:p>
    <w:p w:rsidR="004A0FB0" w:rsidRPr="00C11BCC" w:rsidRDefault="00677C6A" w:rsidP="004A0FB0">
      <w:pPr>
        <w:spacing w:after="120" w:line="264" w:lineRule="auto"/>
        <w:rPr>
          <w:rFonts w:cs="Arial"/>
          <w:b/>
          <w:sz w:val="22"/>
          <w:szCs w:val="22"/>
        </w:rPr>
      </w:pPr>
      <w:r>
        <w:rPr>
          <w:rFonts w:cs="Arial"/>
          <w:b/>
          <w:sz w:val="22"/>
          <w:szCs w:val="22"/>
        </w:rPr>
        <w:t>Program evaluation and c</w:t>
      </w:r>
      <w:r w:rsidRPr="00C11BCC">
        <w:rPr>
          <w:rFonts w:cs="Arial"/>
          <w:b/>
          <w:sz w:val="22"/>
          <w:szCs w:val="22"/>
        </w:rPr>
        <w:t>onsistency reports</w:t>
      </w:r>
    </w:p>
    <w:p w:rsidR="004A0FB0" w:rsidRDefault="00677C6A" w:rsidP="004A0FB0">
      <w:pPr>
        <w:spacing w:after="240" w:line="264" w:lineRule="auto"/>
        <w:rPr>
          <w:rFonts w:cs="Arial"/>
          <w:sz w:val="22"/>
          <w:szCs w:val="24"/>
        </w:rPr>
      </w:pPr>
      <w:r>
        <w:rPr>
          <w:rFonts w:cs="Arial"/>
          <w:sz w:val="22"/>
          <w:szCs w:val="24"/>
        </w:rPr>
        <w:t>Program evaluation, monitoring and reporting requirements for approved classes of actions under the Program are described at Section 11 of the Program report. These requirements are the responsibility of the Victorian Government. In particular, the Victorian Government must prepare and submit a Monitoring and Reporting Framework to the Minister for approval.</w:t>
      </w:r>
    </w:p>
    <w:p w:rsidR="004A0FB0" w:rsidRDefault="00677C6A" w:rsidP="004A0FB0">
      <w:pPr>
        <w:spacing w:after="120" w:line="264" w:lineRule="auto"/>
        <w:rPr>
          <w:rFonts w:cs="Arial"/>
          <w:sz w:val="22"/>
          <w:szCs w:val="22"/>
        </w:rPr>
      </w:pPr>
      <w:r>
        <w:rPr>
          <w:rFonts w:cs="Arial"/>
          <w:sz w:val="22"/>
          <w:szCs w:val="22"/>
        </w:rPr>
        <w:t xml:space="preserve">As an interim measure, the Victorian Government Department of Environment and Primary Industries has agreed, consistent with the requirements of the Program, to provide reports to the Department on implementation of this approval for each of the precincts covered by the approval. The reports will be provided within 28 calendar days following adoption of each Precinct Structure Plan. The reports will demonstrate how the relevant measures in the approved </w:t>
      </w:r>
      <w:r w:rsidRPr="00684C12">
        <w:rPr>
          <w:rFonts w:cs="Arial"/>
          <w:i/>
          <w:sz w:val="22"/>
          <w:szCs w:val="22"/>
        </w:rPr>
        <w:t>Biodiversity Conservation Strategy</w:t>
      </w:r>
      <w:r>
        <w:rPr>
          <w:rFonts w:cs="Arial"/>
          <w:sz w:val="22"/>
          <w:szCs w:val="22"/>
        </w:rPr>
        <w:t xml:space="preserve"> have been applied and the measurable outcomes achieved for protection of matters of national environmental significance. Each report will include the following minimum information:</w:t>
      </w:r>
    </w:p>
    <w:p w:rsidR="004A0FB0" w:rsidRDefault="00677C6A" w:rsidP="004A0FB0">
      <w:pPr>
        <w:numPr>
          <w:ilvl w:val="0"/>
          <w:numId w:val="15"/>
        </w:numPr>
        <w:spacing w:after="120" w:line="264" w:lineRule="auto"/>
        <w:rPr>
          <w:rFonts w:cs="Arial"/>
          <w:sz w:val="22"/>
          <w:szCs w:val="22"/>
        </w:rPr>
      </w:pPr>
      <w:r>
        <w:rPr>
          <w:rFonts w:cs="Arial"/>
          <w:sz w:val="22"/>
          <w:szCs w:val="22"/>
        </w:rPr>
        <w:t xml:space="preserve">Applicable measures, requirements and commitments for each matter of national environmental significance from the </w:t>
      </w:r>
      <w:r w:rsidRPr="00684C12">
        <w:rPr>
          <w:rFonts w:cs="Arial"/>
          <w:i/>
          <w:sz w:val="22"/>
          <w:szCs w:val="22"/>
        </w:rPr>
        <w:t>Biodiversity Conservation Strategy</w:t>
      </w:r>
      <w:r>
        <w:rPr>
          <w:rFonts w:cs="Arial"/>
          <w:sz w:val="22"/>
          <w:szCs w:val="22"/>
        </w:rPr>
        <w:t xml:space="preserve"> for each precinct.</w:t>
      </w:r>
    </w:p>
    <w:p w:rsidR="004A0FB0" w:rsidRDefault="00677C6A" w:rsidP="004A0FB0">
      <w:pPr>
        <w:numPr>
          <w:ilvl w:val="0"/>
          <w:numId w:val="15"/>
        </w:numPr>
        <w:spacing w:after="120" w:line="264" w:lineRule="auto"/>
        <w:rPr>
          <w:rFonts w:cs="Arial"/>
          <w:sz w:val="22"/>
          <w:szCs w:val="22"/>
        </w:rPr>
      </w:pPr>
      <w:r>
        <w:rPr>
          <w:rFonts w:cs="Arial"/>
          <w:sz w:val="22"/>
          <w:szCs w:val="22"/>
        </w:rPr>
        <w:t xml:space="preserve">Implementation of conservation area requirements (if any) identified in the </w:t>
      </w:r>
      <w:r w:rsidRPr="00684C12">
        <w:rPr>
          <w:rFonts w:cs="Arial"/>
          <w:i/>
          <w:sz w:val="22"/>
          <w:szCs w:val="22"/>
        </w:rPr>
        <w:t>Biodiversity Conservation Strategy</w:t>
      </w:r>
      <w:r>
        <w:rPr>
          <w:rFonts w:cs="Arial"/>
          <w:sz w:val="22"/>
          <w:szCs w:val="22"/>
        </w:rPr>
        <w:t xml:space="preserve"> for each matter of national environmental significance.</w:t>
      </w:r>
    </w:p>
    <w:p w:rsidR="004A0FB0" w:rsidRDefault="00677C6A" w:rsidP="004A0FB0">
      <w:pPr>
        <w:numPr>
          <w:ilvl w:val="0"/>
          <w:numId w:val="15"/>
        </w:numPr>
        <w:spacing w:after="120" w:line="264" w:lineRule="auto"/>
        <w:rPr>
          <w:rFonts w:cs="Arial"/>
          <w:sz w:val="22"/>
          <w:szCs w:val="22"/>
        </w:rPr>
      </w:pPr>
      <w:r>
        <w:rPr>
          <w:rFonts w:cs="Arial"/>
          <w:sz w:val="22"/>
          <w:szCs w:val="22"/>
        </w:rPr>
        <w:t xml:space="preserve">Implementation of avoidance, mitigation and habitat compensation requirements identified in the </w:t>
      </w:r>
      <w:r w:rsidRPr="007056C0">
        <w:rPr>
          <w:rFonts w:cs="Arial"/>
          <w:i/>
          <w:sz w:val="22"/>
          <w:szCs w:val="22"/>
        </w:rPr>
        <w:t>Biodiversity Conservation Strategy</w:t>
      </w:r>
      <w:r>
        <w:rPr>
          <w:rFonts w:cs="Arial"/>
          <w:sz w:val="22"/>
          <w:szCs w:val="22"/>
        </w:rPr>
        <w:t xml:space="preserve"> and relevant sub-regional species plans for each matter of national environmental significance, including calculated habitat compensation requirements.</w:t>
      </w:r>
    </w:p>
    <w:p w:rsidR="004A0FB0" w:rsidRDefault="00677C6A" w:rsidP="004A0FB0">
      <w:pPr>
        <w:numPr>
          <w:ilvl w:val="0"/>
          <w:numId w:val="15"/>
        </w:numPr>
        <w:spacing w:after="240" w:line="264" w:lineRule="auto"/>
        <w:ind w:left="714" w:hanging="357"/>
        <w:rPr>
          <w:rFonts w:cs="Arial"/>
          <w:sz w:val="22"/>
          <w:szCs w:val="22"/>
        </w:rPr>
      </w:pPr>
      <w:r>
        <w:rPr>
          <w:rFonts w:cs="Arial"/>
          <w:sz w:val="22"/>
          <w:szCs w:val="22"/>
        </w:rPr>
        <w:t>Figure or maps showing final conservation areas.</w:t>
      </w:r>
    </w:p>
    <w:p w:rsidR="004A0FB0" w:rsidRDefault="00444B2B" w:rsidP="004A0FB0">
      <w:pPr>
        <w:spacing w:after="240" w:line="264" w:lineRule="auto"/>
        <w:rPr>
          <w:rFonts w:cs="Arial"/>
          <w:sz w:val="22"/>
          <w:szCs w:val="24"/>
        </w:rPr>
      </w:pPr>
    </w:p>
    <w:sectPr w:rsidR="004A0FB0" w:rsidSect="004A0FB0">
      <w:headerReference w:type="even" r:id="rId7"/>
      <w:headerReference w:type="default" r:id="rId8"/>
      <w:footerReference w:type="even" r:id="rId9"/>
      <w:footerReference w:type="default" r:id="rId10"/>
      <w:headerReference w:type="first" r:id="rId11"/>
      <w:footerReference w:type="first" r:id="rId12"/>
      <w:pgSz w:w="11907" w:h="16840" w:code="9"/>
      <w:pgMar w:top="567" w:right="1418" w:bottom="397" w:left="1418" w:header="397" w:footer="340"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437F" w:rsidRDefault="00FA437F" w:rsidP="00FA437F">
      <w:r>
        <w:separator/>
      </w:r>
    </w:p>
  </w:endnote>
  <w:endnote w:type="continuationSeparator" w:id="0">
    <w:p w:rsidR="00FA437F" w:rsidRDefault="00FA437F" w:rsidP="00FA437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altName w:val="Book Antiqua"/>
    <w:panose1 w:val="00000000000000000000"/>
    <w:charset w:val="00"/>
    <w:family w:val="roman"/>
    <w:notTrueType/>
    <w:pitch w:val="variable"/>
    <w:sig w:usb0="00000003" w:usb1="00000000" w:usb2="00000000" w:usb3="00000000" w:csb0="00000001" w:csb1="00000000"/>
  </w:font>
  <w:font w:name="Myriad Pro">
    <w:altName w:val="Myriad Pro"/>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422" w:rsidRDefault="008763E2">
    <w:pPr>
      <w:pStyle w:val="Footer"/>
      <w:rPr>
        <w:rStyle w:val="PageNumber"/>
      </w:rPr>
    </w:pPr>
    <w:r>
      <w:rPr>
        <w:rStyle w:val="PageNumber"/>
      </w:rPr>
      <w:fldChar w:fldCharType="begin"/>
    </w:r>
    <w:r w:rsidR="00677C6A">
      <w:rPr>
        <w:rStyle w:val="PageNumber"/>
      </w:rPr>
      <w:instrText xml:space="preserve">PAGE  </w:instrText>
    </w:r>
    <w:r>
      <w:rPr>
        <w:rStyle w:val="PageNumber"/>
      </w:rPr>
      <w:fldChar w:fldCharType="separate"/>
    </w:r>
    <w:r w:rsidR="00677C6A">
      <w:rPr>
        <w:rStyle w:val="PageNumber"/>
        <w:noProof/>
      </w:rPr>
      <w:t>1</w:t>
    </w:r>
    <w:r>
      <w:rPr>
        <w:rStyle w:val="PageNumber"/>
      </w:rPr>
      <w:fldChar w:fldCharType="end"/>
    </w:r>
  </w:p>
  <w:p w:rsidR="00950422" w:rsidRDefault="00444B2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422" w:rsidRPr="001F27CB" w:rsidRDefault="00677C6A" w:rsidP="004A0FB0">
    <w:pPr>
      <w:ind w:right="-427"/>
      <w:rPr>
        <w:sz w:val="16"/>
        <w:szCs w:val="16"/>
      </w:rPr>
    </w:pPr>
    <w:r>
      <w:rPr>
        <w:sz w:val="16"/>
        <w:szCs w:val="16"/>
      </w:rPr>
      <w:t xml:space="preserve">Final </w:t>
    </w:r>
    <w:r w:rsidRPr="001F27CB">
      <w:rPr>
        <w:sz w:val="16"/>
        <w:szCs w:val="16"/>
      </w:rPr>
      <w:t xml:space="preserve">Approval Decision under s146B of the EPBC Act for </w:t>
    </w:r>
    <w:r>
      <w:rPr>
        <w:sz w:val="16"/>
        <w:szCs w:val="16"/>
      </w:rPr>
      <w:t xml:space="preserve">classes of actions </w:t>
    </w:r>
    <w:r w:rsidRPr="001F27CB">
      <w:rPr>
        <w:sz w:val="16"/>
        <w:szCs w:val="16"/>
      </w:rPr>
      <w:t xml:space="preserve">under the endorsed Program </w:t>
    </w:r>
    <w:r>
      <w:rPr>
        <w:sz w:val="16"/>
        <w:szCs w:val="16"/>
      </w:rPr>
      <w:br/>
    </w:r>
    <w:r w:rsidRPr="001F27CB">
      <w:rPr>
        <w:i/>
        <w:sz w:val="16"/>
        <w:szCs w:val="16"/>
      </w:rPr>
      <w:t>Delivering Melbourne’s Newest Sustainable Communities</w:t>
    </w:r>
    <w:r w:rsidRPr="001F27CB">
      <w:rPr>
        <w:i/>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Pr="001F27CB">
      <w:rPr>
        <w:sz w:val="16"/>
        <w:szCs w:val="16"/>
      </w:rPr>
      <w:t xml:space="preserve">Page </w:t>
    </w:r>
    <w:r w:rsidR="008763E2" w:rsidRPr="001F27CB">
      <w:rPr>
        <w:sz w:val="16"/>
        <w:szCs w:val="16"/>
      </w:rPr>
      <w:fldChar w:fldCharType="begin"/>
    </w:r>
    <w:r w:rsidRPr="001F27CB">
      <w:rPr>
        <w:sz w:val="16"/>
        <w:szCs w:val="16"/>
      </w:rPr>
      <w:instrText xml:space="preserve"> PAGE </w:instrText>
    </w:r>
    <w:r w:rsidR="008763E2" w:rsidRPr="001F27CB">
      <w:rPr>
        <w:sz w:val="16"/>
        <w:szCs w:val="16"/>
      </w:rPr>
      <w:fldChar w:fldCharType="separate"/>
    </w:r>
    <w:r w:rsidR="00444B2B">
      <w:rPr>
        <w:noProof/>
        <w:sz w:val="16"/>
        <w:szCs w:val="16"/>
      </w:rPr>
      <w:t>2</w:t>
    </w:r>
    <w:r w:rsidR="008763E2" w:rsidRPr="001F27CB">
      <w:rPr>
        <w:sz w:val="16"/>
        <w:szCs w:val="16"/>
      </w:rPr>
      <w:fldChar w:fldCharType="end"/>
    </w:r>
    <w:r w:rsidRPr="001F27CB">
      <w:rPr>
        <w:sz w:val="16"/>
        <w:szCs w:val="16"/>
      </w:rPr>
      <w:t xml:space="preserve"> of </w:t>
    </w:r>
    <w:r w:rsidR="008763E2" w:rsidRPr="001F27CB">
      <w:rPr>
        <w:sz w:val="16"/>
        <w:szCs w:val="16"/>
      </w:rPr>
      <w:fldChar w:fldCharType="begin"/>
    </w:r>
    <w:r w:rsidRPr="001F27CB">
      <w:rPr>
        <w:sz w:val="16"/>
        <w:szCs w:val="16"/>
      </w:rPr>
      <w:instrText xml:space="preserve"> NUMPAGES  </w:instrText>
    </w:r>
    <w:r w:rsidR="008763E2" w:rsidRPr="001F27CB">
      <w:rPr>
        <w:sz w:val="16"/>
        <w:szCs w:val="16"/>
      </w:rPr>
      <w:fldChar w:fldCharType="separate"/>
    </w:r>
    <w:r w:rsidR="00444B2B">
      <w:rPr>
        <w:noProof/>
        <w:sz w:val="16"/>
        <w:szCs w:val="16"/>
      </w:rPr>
      <w:t>3</w:t>
    </w:r>
    <w:r w:rsidR="008763E2" w:rsidRPr="001F27CB">
      <w:rPr>
        <w:sz w:val="16"/>
        <w:szCs w:val="16"/>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422" w:rsidRPr="001F27CB" w:rsidRDefault="00677C6A" w:rsidP="004A0FB0">
    <w:pPr>
      <w:ind w:right="-994"/>
      <w:rPr>
        <w:sz w:val="16"/>
        <w:szCs w:val="16"/>
      </w:rPr>
    </w:pPr>
    <w:r>
      <w:rPr>
        <w:sz w:val="16"/>
        <w:szCs w:val="16"/>
      </w:rPr>
      <w:t xml:space="preserve">Final </w:t>
    </w:r>
    <w:r w:rsidRPr="001F27CB">
      <w:rPr>
        <w:sz w:val="16"/>
        <w:szCs w:val="16"/>
      </w:rPr>
      <w:t xml:space="preserve">Approval Decision under s146B of the EPBC Act for developments under the endorsed Program </w:t>
    </w:r>
    <w:r w:rsidRPr="001F27CB">
      <w:rPr>
        <w:i/>
        <w:sz w:val="16"/>
        <w:szCs w:val="16"/>
      </w:rPr>
      <w:t>Delivering Melbourne’s Newest Sustainable Communities</w:t>
    </w:r>
    <w:r w:rsidRPr="001F27CB">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Pr="001F27CB">
      <w:rPr>
        <w:sz w:val="16"/>
        <w:szCs w:val="16"/>
      </w:rPr>
      <w:t xml:space="preserve">Page </w:t>
    </w:r>
    <w:r w:rsidR="008763E2" w:rsidRPr="001F27CB">
      <w:rPr>
        <w:sz w:val="16"/>
        <w:szCs w:val="16"/>
      </w:rPr>
      <w:fldChar w:fldCharType="begin"/>
    </w:r>
    <w:r w:rsidRPr="001F27CB">
      <w:rPr>
        <w:sz w:val="16"/>
        <w:szCs w:val="16"/>
      </w:rPr>
      <w:instrText xml:space="preserve"> PAGE </w:instrText>
    </w:r>
    <w:r w:rsidR="008763E2" w:rsidRPr="001F27CB">
      <w:rPr>
        <w:sz w:val="16"/>
        <w:szCs w:val="16"/>
      </w:rPr>
      <w:fldChar w:fldCharType="separate"/>
    </w:r>
    <w:r w:rsidR="00444B2B">
      <w:rPr>
        <w:noProof/>
        <w:sz w:val="16"/>
        <w:szCs w:val="16"/>
      </w:rPr>
      <w:t>1</w:t>
    </w:r>
    <w:r w:rsidR="008763E2" w:rsidRPr="001F27CB">
      <w:rPr>
        <w:sz w:val="16"/>
        <w:szCs w:val="16"/>
      </w:rPr>
      <w:fldChar w:fldCharType="end"/>
    </w:r>
    <w:r w:rsidRPr="001F27CB">
      <w:rPr>
        <w:sz w:val="16"/>
        <w:szCs w:val="16"/>
      </w:rPr>
      <w:t xml:space="preserve"> of </w:t>
    </w:r>
    <w:r w:rsidR="008763E2" w:rsidRPr="001F27CB">
      <w:rPr>
        <w:sz w:val="16"/>
        <w:szCs w:val="16"/>
      </w:rPr>
      <w:fldChar w:fldCharType="begin"/>
    </w:r>
    <w:r w:rsidRPr="001F27CB">
      <w:rPr>
        <w:sz w:val="16"/>
        <w:szCs w:val="16"/>
      </w:rPr>
      <w:instrText xml:space="preserve"> NUMPAGES  </w:instrText>
    </w:r>
    <w:r w:rsidR="008763E2" w:rsidRPr="001F27CB">
      <w:rPr>
        <w:sz w:val="16"/>
        <w:szCs w:val="16"/>
      </w:rPr>
      <w:fldChar w:fldCharType="separate"/>
    </w:r>
    <w:r w:rsidR="00444B2B">
      <w:rPr>
        <w:noProof/>
        <w:sz w:val="16"/>
        <w:szCs w:val="16"/>
      </w:rPr>
      <w:t>5</w:t>
    </w:r>
    <w:r w:rsidR="008763E2" w:rsidRPr="001F27CB">
      <w:rPr>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437F" w:rsidRDefault="00FA437F" w:rsidP="00FA437F">
      <w:r>
        <w:separator/>
      </w:r>
    </w:p>
  </w:footnote>
  <w:footnote w:type="continuationSeparator" w:id="0">
    <w:p w:rsidR="00FA437F" w:rsidRDefault="00FA437F" w:rsidP="00FA43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422" w:rsidRDefault="00444B2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422" w:rsidRDefault="00444B2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422" w:rsidRDefault="00677C6A">
    <w:pPr>
      <w:pStyle w:val="Header"/>
    </w:pPr>
    <w:r>
      <w:rPr>
        <w:noProof/>
        <w:lang w:eastAsia="en-AU"/>
      </w:rPr>
      <w:drawing>
        <wp:inline distT="0" distB="0" distL="0" distR="0">
          <wp:extent cx="2604770" cy="563245"/>
          <wp:effectExtent l="19050" t="0" r="5080" b="0"/>
          <wp:docPr id="1" name="Picture 1" descr="H:\intranet tasks\templates\Word Templates\Dept the Environment in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intranet tasks\templates\Word Templates\Dept the Environment inline.png"/>
                  <pic:cNvPicPr>
                    <a:picLocks noChangeAspect="1" noChangeArrowheads="1"/>
                  </pic:cNvPicPr>
                </pic:nvPicPr>
                <pic:blipFill>
                  <a:blip r:embed="rId1"/>
                  <a:srcRect/>
                  <a:stretch>
                    <a:fillRect/>
                  </a:stretch>
                </pic:blipFill>
                <pic:spPr bwMode="auto">
                  <a:xfrm>
                    <a:off x="0" y="0"/>
                    <a:ext cx="2604770" cy="563245"/>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0C090011"/>
    <w:lvl w:ilvl="0">
      <w:start w:val="1"/>
      <w:numFmt w:val="decimal"/>
      <w:lvlText w:val="%1)"/>
      <w:lvlJc w:val="left"/>
      <w:pPr>
        <w:ind w:left="360" w:hanging="360"/>
      </w:pPr>
    </w:lvl>
  </w:abstractNum>
  <w:abstractNum w:abstractNumId="1">
    <w:nsid w:val="FFFFFF89"/>
    <w:multiLevelType w:val="singleLevel"/>
    <w:tmpl w:val="FD5E9FEA"/>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6FE7244"/>
    <w:multiLevelType w:val="multilevel"/>
    <w:tmpl w:val="6CE8804A"/>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A5D4B6D"/>
    <w:multiLevelType w:val="hybridMultilevel"/>
    <w:tmpl w:val="9112FEC4"/>
    <w:lvl w:ilvl="0" w:tplc="F9340166">
      <w:start w:val="1"/>
      <w:numFmt w:val="lowerLetter"/>
      <w:lvlText w:val="%1)"/>
      <w:lvlJc w:val="left"/>
      <w:pPr>
        <w:tabs>
          <w:tab w:val="num" w:pos="720"/>
        </w:tabs>
        <w:ind w:left="720" w:hanging="360"/>
      </w:pPr>
    </w:lvl>
    <w:lvl w:ilvl="1" w:tplc="F01638AE" w:tentative="1">
      <w:start w:val="1"/>
      <w:numFmt w:val="lowerLetter"/>
      <w:lvlText w:val="%2."/>
      <w:lvlJc w:val="left"/>
      <w:pPr>
        <w:tabs>
          <w:tab w:val="num" w:pos="1440"/>
        </w:tabs>
        <w:ind w:left="1440" w:hanging="360"/>
      </w:pPr>
    </w:lvl>
    <w:lvl w:ilvl="2" w:tplc="B9F435D6" w:tentative="1">
      <w:start w:val="1"/>
      <w:numFmt w:val="lowerRoman"/>
      <w:lvlText w:val="%3."/>
      <w:lvlJc w:val="right"/>
      <w:pPr>
        <w:tabs>
          <w:tab w:val="num" w:pos="2160"/>
        </w:tabs>
        <w:ind w:left="2160" w:hanging="180"/>
      </w:pPr>
    </w:lvl>
    <w:lvl w:ilvl="3" w:tplc="C3A8B9C0" w:tentative="1">
      <w:start w:val="1"/>
      <w:numFmt w:val="decimal"/>
      <w:lvlText w:val="%4."/>
      <w:lvlJc w:val="left"/>
      <w:pPr>
        <w:tabs>
          <w:tab w:val="num" w:pos="2880"/>
        </w:tabs>
        <w:ind w:left="2880" w:hanging="360"/>
      </w:pPr>
    </w:lvl>
    <w:lvl w:ilvl="4" w:tplc="A006B748" w:tentative="1">
      <w:start w:val="1"/>
      <w:numFmt w:val="lowerLetter"/>
      <w:lvlText w:val="%5."/>
      <w:lvlJc w:val="left"/>
      <w:pPr>
        <w:tabs>
          <w:tab w:val="num" w:pos="3600"/>
        </w:tabs>
        <w:ind w:left="3600" w:hanging="360"/>
      </w:pPr>
    </w:lvl>
    <w:lvl w:ilvl="5" w:tplc="FC54A668" w:tentative="1">
      <w:start w:val="1"/>
      <w:numFmt w:val="lowerRoman"/>
      <w:lvlText w:val="%6."/>
      <w:lvlJc w:val="right"/>
      <w:pPr>
        <w:tabs>
          <w:tab w:val="num" w:pos="4320"/>
        </w:tabs>
        <w:ind w:left="4320" w:hanging="180"/>
      </w:pPr>
    </w:lvl>
    <w:lvl w:ilvl="6" w:tplc="75802DE0" w:tentative="1">
      <w:start w:val="1"/>
      <w:numFmt w:val="decimal"/>
      <w:lvlText w:val="%7."/>
      <w:lvlJc w:val="left"/>
      <w:pPr>
        <w:tabs>
          <w:tab w:val="num" w:pos="5040"/>
        </w:tabs>
        <w:ind w:left="5040" w:hanging="360"/>
      </w:pPr>
    </w:lvl>
    <w:lvl w:ilvl="7" w:tplc="32E26F62" w:tentative="1">
      <w:start w:val="1"/>
      <w:numFmt w:val="lowerLetter"/>
      <w:lvlText w:val="%8."/>
      <w:lvlJc w:val="left"/>
      <w:pPr>
        <w:tabs>
          <w:tab w:val="num" w:pos="5760"/>
        </w:tabs>
        <w:ind w:left="5760" w:hanging="360"/>
      </w:pPr>
    </w:lvl>
    <w:lvl w:ilvl="8" w:tplc="76F413BE" w:tentative="1">
      <w:start w:val="1"/>
      <w:numFmt w:val="lowerRoman"/>
      <w:lvlText w:val="%9."/>
      <w:lvlJc w:val="right"/>
      <w:pPr>
        <w:tabs>
          <w:tab w:val="num" w:pos="6480"/>
        </w:tabs>
        <w:ind w:left="6480" w:hanging="180"/>
      </w:pPr>
    </w:lvl>
  </w:abstractNum>
  <w:abstractNum w:abstractNumId="4">
    <w:nsid w:val="0DEA7BDB"/>
    <w:multiLevelType w:val="hybridMultilevel"/>
    <w:tmpl w:val="9112FEC4"/>
    <w:lvl w:ilvl="0" w:tplc="139A6CBC">
      <w:start w:val="1"/>
      <w:numFmt w:val="lowerLetter"/>
      <w:lvlText w:val="%1)"/>
      <w:lvlJc w:val="left"/>
      <w:pPr>
        <w:tabs>
          <w:tab w:val="num" w:pos="720"/>
        </w:tabs>
        <w:ind w:left="720" w:hanging="360"/>
      </w:pPr>
    </w:lvl>
    <w:lvl w:ilvl="1" w:tplc="FCC6E1E8" w:tentative="1">
      <w:start w:val="1"/>
      <w:numFmt w:val="lowerLetter"/>
      <w:lvlText w:val="%2."/>
      <w:lvlJc w:val="left"/>
      <w:pPr>
        <w:tabs>
          <w:tab w:val="num" w:pos="1440"/>
        </w:tabs>
        <w:ind w:left="1440" w:hanging="360"/>
      </w:pPr>
    </w:lvl>
    <w:lvl w:ilvl="2" w:tplc="3C4E01DA" w:tentative="1">
      <w:start w:val="1"/>
      <w:numFmt w:val="lowerRoman"/>
      <w:lvlText w:val="%3."/>
      <w:lvlJc w:val="right"/>
      <w:pPr>
        <w:tabs>
          <w:tab w:val="num" w:pos="2160"/>
        </w:tabs>
        <w:ind w:left="2160" w:hanging="180"/>
      </w:pPr>
    </w:lvl>
    <w:lvl w:ilvl="3" w:tplc="50E4939E" w:tentative="1">
      <w:start w:val="1"/>
      <w:numFmt w:val="decimal"/>
      <w:lvlText w:val="%4."/>
      <w:lvlJc w:val="left"/>
      <w:pPr>
        <w:tabs>
          <w:tab w:val="num" w:pos="2880"/>
        </w:tabs>
        <w:ind w:left="2880" w:hanging="360"/>
      </w:pPr>
    </w:lvl>
    <w:lvl w:ilvl="4" w:tplc="77A8E8C0" w:tentative="1">
      <w:start w:val="1"/>
      <w:numFmt w:val="lowerLetter"/>
      <w:lvlText w:val="%5."/>
      <w:lvlJc w:val="left"/>
      <w:pPr>
        <w:tabs>
          <w:tab w:val="num" w:pos="3600"/>
        </w:tabs>
        <w:ind w:left="3600" w:hanging="360"/>
      </w:pPr>
    </w:lvl>
    <w:lvl w:ilvl="5" w:tplc="ACD87B90" w:tentative="1">
      <w:start w:val="1"/>
      <w:numFmt w:val="lowerRoman"/>
      <w:lvlText w:val="%6."/>
      <w:lvlJc w:val="right"/>
      <w:pPr>
        <w:tabs>
          <w:tab w:val="num" w:pos="4320"/>
        </w:tabs>
        <w:ind w:left="4320" w:hanging="180"/>
      </w:pPr>
    </w:lvl>
    <w:lvl w:ilvl="6" w:tplc="B72E0664" w:tentative="1">
      <w:start w:val="1"/>
      <w:numFmt w:val="decimal"/>
      <w:lvlText w:val="%7."/>
      <w:lvlJc w:val="left"/>
      <w:pPr>
        <w:tabs>
          <w:tab w:val="num" w:pos="5040"/>
        </w:tabs>
        <w:ind w:left="5040" w:hanging="360"/>
      </w:pPr>
    </w:lvl>
    <w:lvl w:ilvl="7" w:tplc="98EADEF8" w:tentative="1">
      <w:start w:val="1"/>
      <w:numFmt w:val="lowerLetter"/>
      <w:lvlText w:val="%8."/>
      <w:lvlJc w:val="left"/>
      <w:pPr>
        <w:tabs>
          <w:tab w:val="num" w:pos="5760"/>
        </w:tabs>
        <w:ind w:left="5760" w:hanging="360"/>
      </w:pPr>
    </w:lvl>
    <w:lvl w:ilvl="8" w:tplc="83A4BA4C" w:tentative="1">
      <w:start w:val="1"/>
      <w:numFmt w:val="lowerRoman"/>
      <w:lvlText w:val="%9."/>
      <w:lvlJc w:val="right"/>
      <w:pPr>
        <w:tabs>
          <w:tab w:val="num" w:pos="6480"/>
        </w:tabs>
        <w:ind w:left="6480" w:hanging="180"/>
      </w:pPr>
    </w:lvl>
  </w:abstractNum>
  <w:abstractNum w:abstractNumId="5">
    <w:nsid w:val="163F1D01"/>
    <w:multiLevelType w:val="hybridMultilevel"/>
    <w:tmpl w:val="D19856B2"/>
    <w:lvl w:ilvl="0" w:tplc="4450176E">
      <w:start w:val="1"/>
      <w:numFmt w:val="bullet"/>
      <w:lvlText w:val=""/>
      <w:lvlJc w:val="left"/>
      <w:pPr>
        <w:tabs>
          <w:tab w:val="num" w:pos="360"/>
        </w:tabs>
        <w:ind w:left="360" w:hanging="360"/>
      </w:pPr>
      <w:rPr>
        <w:rFonts w:ascii="Wingdings" w:hAnsi="Wingdings" w:hint="default"/>
        <w:sz w:val="24"/>
      </w:rPr>
    </w:lvl>
    <w:lvl w:ilvl="1" w:tplc="3C2A8EE2" w:tentative="1">
      <w:start w:val="1"/>
      <w:numFmt w:val="bullet"/>
      <w:lvlText w:val="o"/>
      <w:lvlJc w:val="left"/>
      <w:pPr>
        <w:tabs>
          <w:tab w:val="num" w:pos="1440"/>
        </w:tabs>
        <w:ind w:left="1440" w:hanging="360"/>
      </w:pPr>
      <w:rPr>
        <w:rFonts w:ascii="Courier New" w:hAnsi="Courier New" w:cs="Courier New" w:hint="default"/>
      </w:rPr>
    </w:lvl>
    <w:lvl w:ilvl="2" w:tplc="092E9D74" w:tentative="1">
      <w:start w:val="1"/>
      <w:numFmt w:val="bullet"/>
      <w:lvlText w:val=""/>
      <w:lvlJc w:val="left"/>
      <w:pPr>
        <w:tabs>
          <w:tab w:val="num" w:pos="2160"/>
        </w:tabs>
        <w:ind w:left="2160" w:hanging="360"/>
      </w:pPr>
      <w:rPr>
        <w:rFonts w:ascii="Wingdings" w:hAnsi="Wingdings" w:hint="default"/>
      </w:rPr>
    </w:lvl>
    <w:lvl w:ilvl="3" w:tplc="FB768586" w:tentative="1">
      <w:start w:val="1"/>
      <w:numFmt w:val="bullet"/>
      <w:lvlText w:val=""/>
      <w:lvlJc w:val="left"/>
      <w:pPr>
        <w:tabs>
          <w:tab w:val="num" w:pos="2880"/>
        </w:tabs>
        <w:ind w:left="2880" w:hanging="360"/>
      </w:pPr>
      <w:rPr>
        <w:rFonts w:ascii="Symbol" w:hAnsi="Symbol" w:hint="default"/>
      </w:rPr>
    </w:lvl>
    <w:lvl w:ilvl="4" w:tplc="E00254DA" w:tentative="1">
      <w:start w:val="1"/>
      <w:numFmt w:val="bullet"/>
      <w:lvlText w:val="o"/>
      <w:lvlJc w:val="left"/>
      <w:pPr>
        <w:tabs>
          <w:tab w:val="num" w:pos="3600"/>
        </w:tabs>
        <w:ind w:left="3600" w:hanging="360"/>
      </w:pPr>
      <w:rPr>
        <w:rFonts w:ascii="Courier New" w:hAnsi="Courier New" w:cs="Courier New" w:hint="default"/>
      </w:rPr>
    </w:lvl>
    <w:lvl w:ilvl="5" w:tplc="BFDE5490" w:tentative="1">
      <w:start w:val="1"/>
      <w:numFmt w:val="bullet"/>
      <w:lvlText w:val=""/>
      <w:lvlJc w:val="left"/>
      <w:pPr>
        <w:tabs>
          <w:tab w:val="num" w:pos="4320"/>
        </w:tabs>
        <w:ind w:left="4320" w:hanging="360"/>
      </w:pPr>
      <w:rPr>
        <w:rFonts w:ascii="Wingdings" w:hAnsi="Wingdings" w:hint="default"/>
      </w:rPr>
    </w:lvl>
    <w:lvl w:ilvl="6" w:tplc="72F6A234" w:tentative="1">
      <w:start w:val="1"/>
      <w:numFmt w:val="bullet"/>
      <w:lvlText w:val=""/>
      <w:lvlJc w:val="left"/>
      <w:pPr>
        <w:tabs>
          <w:tab w:val="num" w:pos="5040"/>
        </w:tabs>
        <w:ind w:left="5040" w:hanging="360"/>
      </w:pPr>
      <w:rPr>
        <w:rFonts w:ascii="Symbol" w:hAnsi="Symbol" w:hint="default"/>
      </w:rPr>
    </w:lvl>
    <w:lvl w:ilvl="7" w:tplc="410CF0EE" w:tentative="1">
      <w:start w:val="1"/>
      <w:numFmt w:val="bullet"/>
      <w:lvlText w:val="o"/>
      <w:lvlJc w:val="left"/>
      <w:pPr>
        <w:tabs>
          <w:tab w:val="num" w:pos="5760"/>
        </w:tabs>
        <w:ind w:left="5760" w:hanging="360"/>
      </w:pPr>
      <w:rPr>
        <w:rFonts w:ascii="Courier New" w:hAnsi="Courier New" w:cs="Courier New" w:hint="default"/>
      </w:rPr>
    </w:lvl>
    <w:lvl w:ilvl="8" w:tplc="8B8E5FCA" w:tentative="1">
      <w:start w:val="1"/>
      <w:numFmt w:val="bullet"/>
      <w:lvlText w:val=""/>
      <w:lvlJc w:val="left"/>
      <w:pPr>
        <w:tabs>
          <w:tab w:val="num" w:pos="6480"/>
        </w:tabs>
        <w:ind w:left="6480" w:hanging="360"/>
      </w:pPr>
      <w:rPr>
        <w:rFonts w:ascii="Wingdings" w:hAnsi="Wingdings" w:hint="default"/>
      </w:rPr>
    </w:lvl>
  </w:abstractNum>
  <w:abstractNum w:abstractNumId="6">
    <w:nsid w:val="1BF1354A"/>
    <w:multiLevelType w:val="hybridMultilevel"/>
    <w:tmpl w:val="3F2C004A"/>
    <w:lvl w:ilvl="0" w:tplc="753AAA0A">
      <w:start w:val="1"/>
      <w:numFmt w:val="lowerLetter"/>
      <w:lvlText w:val="%1)"/>
      <w:lvlJc w:val="left"/>
      <w:pPr>
        <w:tabs>
          <w:tab w:val="num" w:pos="720"/>
        </w:tabs>
        <w:ind w:left="720" w:hanging="360"/>
      </w:pPr>
    </w:lvl>
    <w:lvl w:ilvl="1" w:tplc="C1D0E4AE">
      <w:start w:val="1"/>
      <w:numFmt w:val="lowerLetter"/>
      <w:lvlText w:val="%2."/>
      <w:lvlJc w:val="left"/>
      <w:pPr>
        <w:tabs>
          <w:tab w:val="num" w:pos="1440"/>
        </w:tabs>
        <w:ind w:left="1440" w:hanging="360"/>
      </w:pPr>
    </w:lvl>
    <w:lvl w:ilvl="2" w:tplc="81728D46">
      <w:start w:val="1"/>
      <w:numFmt w:val="decimal"/>
      <w:lvlText w:val="%3."/>
      <w:lvlJc w:val="left"/>
      <w:pPr>
        <w:tabs>
          <w:tab w:val="num" w:pos="2340"/>
        </w:tabs>
        <w:ind w:left="2340" w:hanging="360"/>
      </w:pPr>
    </w:lvl>
    <w:lvl w:ilvl="3" w:tplc="30CC5816" w:tentative="1">
      <w:start w:val="1"/>
      <w:numFmt w:val="decimal"/>
      <w:lvlText w:val="%4."/>
      <w:lvlJc w:val="left"/>
      <w:pPr>
        <w:tabs>
          <w:tab w:val="num" w:pos="2880"/>
        </w:tabs>
        <w:ind w:left="2880" w:hanging="360"/>
      </w:pPr>
    </w:lvl>
    <w:lvl w:ilvl="4" w:tplc="DBCCD242" w:tentative="1">
      <w:start w:val="1"/>
      <w:numFmt w:val="lowerLetter"/>
      <w:lvlText w:val="%5."/>
      <w:lvlJc w:val="left"/>
      <w:pPr>
        <w:tabs>
          <w:tab w:val="num" w:pos="3600"/>
        </w:tabs>
        <w:ind w:left="3600" w:hanging="360"/>
      </w:pPr>
    </w:lvl>
    <w:lvl w:ilvl="5" w:tplc="D130D970" w:tentative="1">
      <w:start w:val="1"/>
      <w:numFmt w:val="lowerRoman"/>
      <w:lvlText w:val="%6."/>
      <w:lvlJc w:val="right"/>
      <w:pPr>
        <w:tabs>
          <w:tab w:val="num" w:pos="4320"/>
        </w:tabs>
        <w:ind w:left="4320" w:hanging="180"/>
      </w:pPr>
    </w:lvl>
    <w:lvl w:ilvl="6" w:tplc="16BC795E" w:tentative="1">
      <w:start w:val="1"/>
      <w:numFmt w:val="decimal"/>
      <w:lvlText w:val="%7."/>
      <w:lvlJc w:val="left"/>
      <w:pPr>
        <w:tabs>
          <w:tab w:val="num" w:pos="5040"/>
        </w:tabs>
        <w:ind w:left="5040" w:hanging="360"/>
      </w:pPr>
    </w:lvl>
    <w:lvl w:ilvl="7" w:tplc="A0F42E00" w:tentative="1">
      <w:start w:val="1"/>
      <w:numFmt w:val="lowerLetter"/>
      <w:lvlText w:val="%8."/>
      <w:lvlJc w:val="left"/>
      <w:pPr>
        <w:tabs>
          <w:tab w:val="num" w:pos="5760"/>
        </w:tabs>
        <w:ind w:left="5760" w:hanging="360"/>
      </w:pPr>
    </w:lvl>
    <w:lvl w:ilvl="8" w:tplc="3462FE22" w:tentative="1">
      <w:start w:val="1"/>
      <w:numFmt w:val="lowerRoman"/>
      <w:lvlText w:val="%9."/>
      <w:lvlJc w:val="right"/>
      <w:pPr>
        <w:tabs>
          <w:tab w:val="num" w:pos="6480"/>
        </w:tabs>
        <w:ind w:left="6480" w:hanging="180"/>
      </w:pPr>
    </w:lvl>
  </w:abstractNum>
  <w:abstractNum w:abstractNumId="7">
    <w:nsid w:val="1F007D30"/>
    <w:multiLevelType w:val="hybridMultilevel"/>
    <w:tmpl w:val="E5128974"/>
    <w:lvl w:ilvl="0" w:tplc="47A882C8">
      <w:start w:val="1"/>
      <w:numFmt w:val="bullet"/>
      <w:lvlText w:val=""/>
      <w:lvlJc w:val="left"/>
      <w:pPr>
        <w:tabs>
          <w:tab w:val="num" w:pos="360"/>
        </w:tabs>
        <w:ind w:left="360" w:hanging="360"/>
      </w:pPr>
      <w:rPr>
        <w:rFonts w:ascii="Symbol" w:hAnsi="Symbol" w:hint="default"/>
      </w:rPr>
    </w:lvl>
    <w:lvl w:ilvl="1" w:tplc="C9AC5018" w:tentative="1">
      <w:start w:val="1"/>
      <w:numFmt w:val="bullet"/>
      <w:lvlText w:val="o"/>
      <w:lvlJc w:val="left"/>
      <w:pPr>
        <w:tabs>
          <w:tab w:val="num" w:pos="1080"/>
        </w:tabs>
        <w:ind w:left="1080" w:hanging="360"/>
      </w:pPr>
      <w:rPr>
        <w:rFonts w:ascii="Courier New" w:hAnsi="Courier New" w:cs="Courier New" w:hint="default"/>
      </w:rPr>
    </w:lvl>
    <w:lvl w:ilvl="2" w:tplc="3EB4D666" w:tentative="1">
      <w:start w:val="1"/>
      <w:numFmt w:val="bullet"/>
      <w:lvlText w:val=""/>
      <w:lvlJc w:val="left"/>
      <w:pPr>
        <w:tabs>
          <w:tab w:val="num" w:pos="1800"/>
        </w:tabs>
        <w:ind w:left="1800" w:hanging="360"/>
      </w:pPr>
      <w:rPr>
        <w:rFonts w:ascii="Wingdings" w:hAnsi="Wingdings" w:hint="default"/>
      </w:rPr>
    </w:lvl>
    <w:lvl w:ilvl="3" w:tplc="7EE6E614" w:tentative="1">
      <w:start w:val="1"/>
      <w:numFmt w:val="bullet"/>
      <w:lvlText w:val=""/>
      <w:lvlJc w:val="left"/>
      <w:pPr>
        <w:tabs>
          <w:tab w:val="num" w:pos="2520"/>
        </w:tabs>
        <w:ind w:left="2520" w:hanging="360"/>
      </w:pPr>
      <w:rPr>
        <w:rFonts w:ascii="Symbol" w:hAnsi="Symbol" w:hint="default"/>
      </w:rPr>
    </w:lvl>
    <w:lvl w:ilvl="4" w:tplc="42F64C00" w:tentative="1">
      <w:start w:val="1"/>
      <w:numFmt w:val="bullet"/>
      <w:lvlText w:val="o"/>
      <w:lvlJc w:val="left"/>
      <w:pPr>
        <w:tabs>
          <w:tab w:val="num" w:pos="3240"/>
        </w:tabs>
        <w:ind w:left="3240" w:hanging="360"/>
      </w:pPr>
      <w:rPr>
        <w:rFonts w:ascii="Courier New" w:hAnsi="Courier New" w:cs="Courier New" w:hint="default"/>
      </w:rPr>
    </w:lvl>
    <w:lvl w:ilvl="5" w:tplc="15525936" w:tentative="1">
      <w:start w:val="1"/>
      <w:numFmt w:val="bullet"/>
      <w:lvlText w:val=""/>
      <w:lvlJc w:val="left"/>
      <w:pPr>
        <w:tabs>
          <w:tab w:val="num" w:pos="3960"/>
        </w:tabs>
        <w:ind w:left="3960" w:hanging="360"/>
      </w:pPr>
      <w:rPr>
        <w:rFonts w:ascii="Wingdings" w:hAnsi="Wingdings" w:hint="default"/>
      </w:rPr>
    </w:lvl>
    <w:lvl w:ilvl="6" w:tplc="EFFAED34" w:tentative="1">
      <w:start w:val="1"/>
      <w:numFmt w:val="bullet"/>
      <w:lvlText w:val=""/>
      <w:lvlJc w:val="left"/>
      <w:pPr>
        <w:tabs>
          <w:tab w:val="num" w:pos="4680"/>
        </w:tabs>
        <w:ind w:left="4680" w:hanging="360"/>
      </w:pPr>
      <w:rPr>
        <w:rFonts w:ascii="Symbol" w:hAnsi="Symbol" w:hint="default"/>
      </w:rPr>
    </w:lvl>
    <w:lvl w:ilvl="7" w:tplc="99783B88" w:tentative="1">
      <w:start w:val="1"/>
      <w:numFmt w:val="bullet"/>
      <w:lvlText w:val="o"/>
      <w:lvlJc w:val="left"/>
      <w:pPr>
        <w:tabs>
          <w:tab w:val="num" w:pos="5400"/>
        </w:tabs>
        <w:ind w:left="5400" w:hanging="360"/>
      </w:pPr>
      <w:rPr>
        <w:rFonts w:ascii="Courier New" w:hAnsi="Courier New" w:cs="Courier New" w:hint="default"/>
      </w:rPr>
    </w:lvl>
    <w:lvl w:ilvl="8" w:tplc="26ACFADC" w:tentative="1">
      <w:start w:val="1"/>
      <w:numFmt w:val="bullet"/>
      <w:lvlText w:val=""/>
      <w:lvlJc w:val="left"/>
      <w:pPr>
        <w:tabs>
          <w:tab w:val="num" w:pos="6120"/>
        </w:tabs>
        <w:ind w:left="6120" w:hanging="360"/>
      </w:pPr>
      <w:rPr>
        <w:rFonts w:ascii="Wingdings" w:hAnsi="Wingdings" w:hint="default"/>
      </w:rPr>
    </w:lvl>
  </w:abstractNum>
  <w:abstractNum w:abstractNumId="8">
    <w:nsid w:val="2C0A27B9"/>
    <w:multiLevelType w:val="hybridMultilevel"/>
    <w:tmpl w:val="1D6618A4"/>
    <w:lvl w:ilvl="0" w:tplc="081C7A64">
      <w:start w:val="1"/>
      <w:numFmt w:val="bullet"/>
      <w:pStyle w:val="Normalbullet"/>
      <w:lvlText w:val=""/>
      <w:lvlJc w:val="left"/>
      <w:pPr>
        <w:tabs>
          <w:tab w:val="num" w:pos="284"/>
        </w:tabs>
        <w:ind w:left="284" w:hanging="284"/>
      </w:pPr>
      <w:rPr>
        <w:rFonts w:ascii="Symbol" w:hAnsi="Symbol" w:hint="default"/>
      </w:rPr>
    </w:lvl>
    <w:lvl w:ilvl="1" w:tplc="EEDE6D9E" w:tentative="1">
      <w:start w:val="1"/>
      <w:numFmt w:val="bullet"/>
      <w:lvlText w:val="o"/>
      <w:lvlJc w:val="left"/>
      <w:pPr>
        <w:tabs>
          <w:tab w:val="num" w:pos="901"/>
        </w:tabs>
        <w:ind w:left="901" w:hanging="360"/>
      </w:pPr>
      <w:rPr>
        <w:rFonts w:ascii="Courier New" w:hAnsi="Courier New" w:cs="Courier New" w:hint="default"/>
      </w:rPr>
    </w:lvl>
    <w:lvl w:ilvl="2" w:tplc="B3A2C088" w:tentative="1">
      <w:start w:val="1"/>
      <w:numFmt w:val="bullet"/>
      <w:lvlText w:val=""/>
      <w:lvlJc w:val="left"/>
      <w:pPr>
        <w:tabs>
          <w:tab w:val="num" w:pos="1621"/>
        </w:tabs>
        <w:ind w:left="1621" w:hanging="360"/>
      </w:pPr>
      <w:rPr>
        <w:rFonts w:ascii="Wingdings" w:hAnsi="Wingdings" w:hint="default"/>
      </w:rPr>
    </w:lvl>
    <w:lvl w:ilvl="3" w:tplc="C2FE096C" w:tentative="1">
      <w:start w:val="1"/>
      <w:numFmt w:val="bullet"/>
      <w:lvlText w:val=""/>
      <w:lvlJc w:val="left"/>
      <w:pPr>
        <w:tabs>
          <w:tab w:val="num" w:pos="2341"/>
        </w:tabs>
        <w:ind w:left="2341" w:hanging="360"/>
      </w:pPr>
      <w:rPr>
        <w:rFonts w:ascii="Symbol" w:hAnsi="Symbol" w:hint="default"/>
      </w:rPr>
    </w:lvl>
    <w:lvl w:ilvl="4" w:tplc="F534880A" w:tentative="1">
      <w:start w:val="1"/>
      <w:numFmt w:val="bullet"/>
      <w:lvlText w:val="o"/>
      <w:lvlJc w:val="left"/>
      <w:pPr>
        <w:tabs>
          <w:tab w:val="num" w:pos="3061"/>
        </w:tabs>
        <w:ind w:left="3061" w:hanging="360"/>
      </w:pPr>
      <w:rPr>
        <w:rFonts w:ascii="Courier New" w:hAnsi="Courier New" w:cs="Courier New" w:hint="default"/>
      </w:rPr>
    </w:lvl>
    <w:lvl w:ilvl="5" w:tplc="87ECFC94" w:tentative="1">
      <w:start w:val="1"/>
      <w:numFmt w:val="bullet"/>
      <w:lvlText w:val=""/>
      <w:lvlJc w:val="left"/>
      <w:pPr>
        <w:tabs>
          <w:tab w:val="num" w:pos="3781"/>
        </w:tabs>
        <w:ind w:left="3781" w:hanging="360"/>
      </w:pPr>
      <w:rPr>
        <w:rFonts w:ascii="Wingdings" w:hAnsi="Wingdings" w:hint="default"/>
      </w:rPr>
    </w:lvl>
    <w:lvl w:ilvl="6" w:tplc="51BAE7D2" w:tentative="1">
      <w:start w:val="1"/>
      <w:numFmt w:val="bullet"/>
      <w:lvlText w:val=""/>
      <w:lvlJc w:val="left"/>
      <w:pPr>
        <w:tabs>
          <w:tab w:val="num" w:pos="4501"/>
        </w:tabs>
        <w:ind w:left="4501" w:hanging="360"/>
      </w:pPr>
      <w:rPr>
        <w:rFonts w:ascii="Symbol" w:hAnsi="Symbol" w:hint="default"/>
      </w:rPr>
    </w:lvl>
    <w:lvl w:ilvl="7" w:tplc="21343EEA" w:tentative="1">
      <w:start w:val="1"/>
      <w:numFmt w:val="bullet"/>
      <w:lvlText w:val="o"/>
      <w:lvlJc w:val="left"/>
      <w:pPr>
        <w:tabs>
          <w:tab w:val="num" w:pos="5221"/>
        </w:tabs>
        <w:ind w:left="5221" w:hanging="360"/>
      </w:pPr>
      <w:rPr>
        <w:rFonts w:ascii="Courier New" w:hAnsi="Courier New" w:cs="Courier New" w:hint="default"/>
      </w:rPr>
    </w:lvl>
    <w:lvl w:ilvl="8" w:tplc="0C6274FA" w:tentative="1">
      <w:start w:val="1"/>
      <w:numFmt w:val="bullet"/>
      <w:lvlText w:val=""/>
      <w:lvlJc w:val="left"/>
      <w:pPr>
        <w:tabs>
          <w:tab w:val="num" w:pos="5941"/>
        </w:tabs>
        <w:ind w:left="5941" w:hanging="360"/>
      </w:pPr>
      <w:rPr>
        <w:rFonts w:ascii="Wingdings" w:hAnsi="Wingdings" w:hint="default"/>
      </w:rPr>
    </w:lvl>
  </w:abstractNum>
  <w:abstractNum w:abstractNumId="9">
    <w:nsid w:val="2C2A7F45"/>
    <w:multiLevelType w:val="hybridMultilevel"/>
    <w:tmpl w:val="9F669E0C"/>
    <w:lvl w:ilvl="0" w:tplc="547A5B18">
      <w:start w:val="1"/>
      <w:numFmt w:val="decimal"/>
      <w:lvlText w:val="%1."/>
      <w:lvlJc w:val="left"/>
      <w:pPr>
        <w:tabs>
          <w:tab w:val="num" w:pos="360"/>
        </w:tabs>
        <w:ind w:left="360" w:hanging="360"/>
      </w:pPr>
    </w:lvl>
    <w:lvl w:ilvl="1" w:tplc="3BEC5ED2" w:tentative="1">
      <w:start w:val="1"/>
      <w:numFmt w:val="lowerLetter"/>
      <w:lvlText w:val="%2."/>
      <w:lvlJc w:val="left"/>
      <w:pPr>
        <w:tabs>
          <w:tab w:val="num" w:pos="1080"/>
        </w:tabs>
        <w:ind w:left="1080" w:hanging="360"/>
      </w:pPr>
    </w:lvl>
    <w:lvl w:ilvl="2" w:tplc="388008B4" w:tentative="1">
      <w:start w:val="1"/>
      <w:numFmt w:val="lowerRoman"/>
      <w:lvlText w:val="%3."/>
      <w:lvlJc w:val="right"/>
      <w:pPr>
        <w:tabs>
          <w:tab w:val="num" w:pos="1800"/>
        </w:tabs>
        <w:ind w:left="1800" w:hanging="180"/>
      </w:pPr>
    </w:lvl>
    <w:lvl w:ilvl="3" w:tplc="20D86CBA" w:tentative="1">
      <w:start w:val="1"/>
      <w:numFmt w:val="decimal"/>
      <w:lvlText w:val="%4."/>
      <w:lvlJc w:val="left"/>
      <w:pPr>
        <w:tabs>
          <w:tab w:val="num" w:pos="2520"/>
        </w:tabs>
        <w:ind w:left="2520" w:hanging="360"/>
      </w:pPr>
    </w:lvl>
    <w:lvl w:ilvl="4" w:tplc="AE5A3B28" w:tentative="1">
      <w:start w:val="1"/>
      <w:numFmt w:val="lowerLetter"/>
      <w:lvlText w:val="%5."/>
      <w:lvlJc w:val="left"/>
      <w:pPr>
        <w:tabs>
          <w:tab w:val="num" w:pos="3240"/>
        </w:tabs>
        <w:ind w:left="3240" w:hanging="360"/>
      </w:pPr>
    </w:lvl>
    <w:lvl w:ilvl="5" w:tplc="E8E07800" w:tentative="1">
      <w:start w:val="1"/>
      <w:numFmt w:val="lowerRoman"/>
      <w:lvlText w:val="%6."/>
      <w:lvlJc w:val="right"/>
      <w:pPr>
        <w:tabs>
          <w:tab w:val="num" w:pos="3960"/>
        </w:tabs>
        <w:ind w:left="3960" w:hanging="180"/>
      </w:pPr>
    </w:lvl>
    <w:lvl w:ilvl="6" w:tplc="258E3F94" w:tentative="1">
      <w:start w:val="1"/>
      <w:numFmt w:val="decimal"/>
      <w:lvlText w:val="%7."/>
      <w:lvlJc w:val="left"/>
      <w:pPr>
        <w:tabs>
          <w:tab w:val="num" w:pos="4680"/>
        </w:tabs>
        <w:ind w:left="4680" w:hanging="360"/>
      </w:pPr>
    </w:lvl>
    <w:lvl w:ilvl="7" w:tplc="93B2C0FA" w:tentative="1">
      <w:start w:val="1"/>
      <w:numFmt w:val="lowerLetter"/>
      <w:lvlText w:val="%8."/>
      <w:lvlJc w:val="left"/>
      <w:pPr>
        <w:tabs>
          <w:tab w:val="num" w:pos="5400"/>
        </w:tabs>
        <w:ind w:left="5400" w:hanging="360"/>
      </w:pPr>
    </w:lvl>
    <w:lvl w:ilvl="8" w:tplc="CC4AAC7C" w:tentative="1">
      <w:start w:val="1"/>
      <w:numFmt w:val="lowerRoman"/>
      <w:lvlText w:val="%9."/>
      <w:lvlJc w:val="right"/>
      <w:pPr>
        <w:tabs>
          <w:tab w:val="num" w:pos="6120"/>
        </w:tabs>
        <w:ind w:left="6120" w:hanging="180"/>
      </w:pPr>
    </w:lvl>
  </w:abstractNum>
  <w:abstractNum w:abstractNumId="10">
    <w:nsid w:val="36313980"/>
    <w:multiLevelType w:val="hybridMultilevel"/>
    <w:tmpl w:val="5D60C116"/>
    <w:lvl w:ilvl="0" w:tplc="907C58A8">
      <w:start w:val="1"/>
      <w:numFmt w:val="bullet"/>
      <w:lvlText w:val=""/>
      <w:lvlJc w:val="left"/>
      <w:pPr>
        <w:ind w:left="720" w:hanging="360"/>
      </w:pPr>
      <w:rPr>
        <w:rFonts w:ascii="Symbol" w:hAnsi="Symbol" w:hint="default"/>
      </w:rPr>
    </w:lvl>
    <w:lvl w:ilvl="1" w:tplc="818E89AA" w:tentative="1">
      <w:start w:val="1"/>
      <w:numFmt w:val="bullet"/>
      <w:lvlText w:val="o"/>
      <w:lvlJc w:val="left"/>
      <w:pPr>
        <w:ind w:left="1440" w:hanging="360"/>
      </w:pPr>
      <w:rPr>
        <w:rFonts w:ascii="Courier New" w:hAnsi="Courier New" w:cs="Courier New" w:hint="default"/>
      </w:rPr>
    </w:lvl>
    <w:lvl w:ilvl="2" w:tplc="B6EAB8E2" w:tentative="1">
      <w:start w:val="1"/>
      <w:numFmt w:val="bullet"/>
      <w:lvlText w:val=""/>
      <w:lvlJc w:val="left"/>
      <w:pPr>
        <w:ind w:left="2160" w:hanging="360"/>
      </w:pPr>
      <w:rPr>
        <w:rFonts w:ascii="Wingdings" w:hAnsi="Wingdings" w:hint="default"/>
      </w:rPr>
    </w:lvl>
    <w:lvl w:ilvl="3" w:tplc="34282D74" w:tentative="1">
      <w:start w:val="1"/>
      <w:numFmt w:val="bullet"/>
      <w:lvlText w:val=""/>
      <w:lvlJc w:val="left"/>
      <w:pPr>
        <w:ind w:left="2880" w:hanging="360"/>
      </w:pPr>
      <w:rPr>
        <w:rFonts w:ascii="Symbol" w:hAnsi="Symbol" w:hint="default"/>
      </w:rPr>
    </w:lvl>
    <w:lvl w:ilvl="4" w:tplc="3C3C4E66" w:tentative="1">
      <w:start w:val="1"/>
      <w:numFmt w:val="bullet"/>
      <w:lvlText w:val="o"/>
      <w:lvlJc w:val="left"/>
      <w:pPr>
        <w:ind w:left="3600" w:hanging="360"/>
      </w:pPr>
      <w:rPr>
        <w:rFonts w:ascii="Courier New" w:hAnsi="Courier New" w:cs="Courier New" w:hint="default"/>
      </w:rPr>
    </w:lvl>
    <w:lvl w:ilvl="5" w:tplc="233E6BD0" w:tentative="1">
      <w:start w:val="1"/>
      <w:numFmt w:val="bullet"/>
      <w:lvlText w:val=""/>
      <w:lvlJc w:val="left"/>
      <w:pPr>
        <w:ind w:left="4320" w:hanging="360"/>
      </w:pPr>
      <w:rPr>
        <w:rFonts w:ascii="Wingdings" w:hAnsi="Wingdings" w:hint="default"/>
      </w:rPr>
    </w:lvl>
    <w:lvl w:ilvl="6" w:tplc="8312C07A" w:tentative="1">
      <w:start w:val="1"/>
      <w:numFmt w:val="bullet"/>
      <w:lvlText w:val=""/>
      <w:lvlJc w:val="left"/>
      <w:pPr>
        <w:ind w:left="5040" w:hanging="360"/>
      </w:pPr>
      <w:rPr>
        <w:rFonts w:ascii="Symbol" w:hAnsi="Symbol" w:hint="default"/>
      </w:rPr>
    </w:lvl>
    <w:lvl w:ilvl="7" w:tplc="C062E178" w:tentative="1">
      <w:start w:val="1"/>
      <w:numFmt w:val="bullet"/>
      <w:lvlText w:val="o"/>
      <w:lvlJc w:val="left"/>
      <w:pPr>
        <w:ind w:left="5760" w:hanging="360"/>
      </w:pPr>
      <w:rPr>
        <w:rFonts w:ascii="Courier New" w:hAnsi="Courier New" w:cs="Courier New" w:hint="default"/>
      </w:rPr>
    </w:lvl>
    <w:lvl w:ilvl="8" w:tplc="6862F1B0" w:tentative="1">
      <w:start w:val="1"/>
      <w:numFmt w:val="bullet"/>
      <w:lvlText w:val=""/>
      <w:lvlJc w:val="left"/>
      <w:pPr>
        <w:ind w:left="6480" w:hanging="360"/>
      </w:pPr>
      <w:rPr>
        <w:rFonts w:ascii="Wingdings" w:hAnsi="Wingdings" w:hint="default"/>
      </w:rPr>
    </w:lvl>
  </w:abstractNum>
  <w:abstractNum w:abstractNumId="11">
    <w:nsid w:val="40A70392"/>
    <w:multiLevelType w:val="singleLevel"/>
    <w:tmpl w:val="329014C0"/>
    <w:lvl w:ilvl="0">
      <w:start w:val="1"/>
      <w:numFmt w:val="decimal"/>
      <w:lvlText w:val="%1"/>
      <w:legacy w:legacy="1" w:legacySpace="0" w:legacyIndent="360"/>
      <w:lvlJc w:val="left"/>
      <w:rPr>
        <w:rFonts w:ascii="Arial" w:hAnsi="Arial" w:cs="Arial" w:hint="default"/>
      </w:rPr>
    </w:lvl>
  </w:abstractNum>
  <w:abstractNum w:abstractNumId="12">
    <w:nsid w:val="48EA00F8"/>
    <w:multiLevelType w:val="multilevel"/>
    <w:tmpl w:val="E35A7EDA"/>
    <w:lvl w:ilvl="0">
      <w:start w:val="1"/>
      <w:numFmt w:val="decimal"/>
      <w:lvlText w:val="A%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52CF066C"/>
    <w:multiLevelType w:val="hybridMultilevel"/>
    <w:tmpl w:val="1ECE41F4"/>
    <w:lvl w:ilvl="0" w:tplc="71BEED3E">
      <w:start w:val="1"/>
      <w:numFmt w:val="bullet"/>
      <w:lvlText w:val=""/>
      <w:lvlJc w:val="left"/>
      <w:pPr>
        <w:tabs>
          <w:tab w:val="num" w:pos="360"/>
        </w:tabs>
        <w:ind w:left="360" w:hanging="360"/>
      </w:pPr>
      <w:rPr>
        <w:rFonts w:ascii="Wingdings" w:hAnsi="Wingdings" w:hint="default"/>
        <w:sz w:val="24"/>
      </w:rPr>
    </w:lvl>
    <w:lvl w:ilvl="1" w:tplc="297033F8">
      <w:start w:val="1"/>
      <w:numFmt w:val="bullet"/>
      <w:lvlText w:val=""/>
      <w:lvlJc w:val="left"/>
      <w:pPr>
        <w:tabs>
          <w:tab w:val="num" w:pos="720"/>
        </w:tabs>
        <w:ind w:left="720" w:hanging="360"/>
      </w:pPr>
      <w:rPr>
        <w:rFonts w:ascii="Wingdings" w:hAnsi="Wingdings" w:hint="default"/>
        <w:sz w:val="24"/>
      </w:rPr>
    </w:lvl>
    <w:lvl w:ilvl="2" w:tplc="FF32D85E" w:tentative="1">
      <w:start w:val="1"/>
      <w:numFmt w:val="lowerRoman"/>
      <w:lvlText w:val="%3."/>
      <w:lvlJc w:val="right"/>
      <w:pPr>
        <w:tabs>
          <w:tab w:val="num" w:pos="1440"/>
        </w:tabs>
        <w:ind w:left="1440" w:hanging="180"/>
      </w:pPr>
    </w:lvl>
    <w:lvl w:ilvl="3" w:tplc="3D26630E" w:tentative="1">
      <w:start w:val="1"/>
      <w:numFmt w:val="decimal"/>
      <w:lvlText w:val="%4."/>
      <w:lvlJc w:val="left"/>
      <w:pPr>
        <w:tabs>
          <w:tab w:val="num" w:pos="2160"/>
        </w:tabs>
        <w:ind w:left="2160" w:hanging="360"/>
      </w:pPr>
    </w:lvl>
    <w:lvl w:ilvl="4" w:tplc="7EC6E17E" w:tentative="1">
      <w:start w:val="1"/>
      <w:numFmt w:val="lowerLetter"/>
      <w:lvlText w:val="%5."/>
      <w:lvlJc w:val="left"/>
      <w:pPr>
        <w:tabs>
          <w:tab w:val="num" w:pos="2880"/>
        </w:tabs>
        <w:ind w:left="2880" w:hanging="360"/>
      </w:pPr>
    </w:lvl>
    <w:lvl w:ilvl="5" w:tplc="5FD02168" w:tentative="1">
      <w:start w:val="1"/>
      <w:numFmt w:val="lowerRoman"/>
      <w:lvlText w:val="%6."/>
      <w:lvlJc w:val="right"/>
      <w:pPr>
        <w:tabs>
          <w:tab w:val="num" w:pos="3600"/>
        </w:tabs>
        <w:ind w:left="3600" w:hanging="180"/>
      </w:pPr>
    </w:lvl>
    <w:lvl w:ilvl="6" w:tplc="040ED014" w:tentative="1">
      <w:start w:val="1"/>
      <w:numFmt w:val="decimal"/>
      <w:lvlText w:val="%7."/>
      <w:lvlJc w:val="left"/>
      <w:pPr>
        <w:tabs>
          <w:tab w:val="num" w:pos="4320"/>
        </w:tabs>
        <w:ind w:left="4320" w:hanging="360"/>
      </w:pPr>
    </w:lvl>
    <w:lvl w:ilvl="7" w:tplc="4C54B04E" w:tentative="1">
      <w:start w:val="1"/>
      <w:numFmt w:val="lowerLetter"/>
      <w:lvlText w:val="%8."/>
      <w:lvlJc w:val="left"/>
      <w:pPr>
        <w:tabs>
          <w:tab w:val="num" w:pos="5040"/>
        </w:tabs>
        <w:ind w:left="5040" w:hanging="360"/>
      </w:pPr>
    </w:lvl>
    <w:lvl w:ilvl="8" w:tplc="41863BDA" w:tentative="1">
      <w:start w:val="1"/>
      <w:numFmt w:val="lowerRoman"/>
      <w:lvlText w:val="%9."/>
      <w:lvlJc w:val="right"/>
      <w:pPr>
        <w:tabs>
          <w:tab w:val="num" w:pos="5760"/>
        </w:tabs>
        <w:ind w:left="5760" w:hanging="180"/>
      </w:pPr>
    </w:lvl>
  </w:abstractNum>
  <w:abstractNum w:abstractNumId="14">
    <w:nsid w:val="56D32DB6"/>
    <w:multiLevelType w:val="hybridMultilevel"/>
    <w:tmpl w:val="2FC89600"/>
    <w:lvl w:ilvl="0" w:tplc="39364648">
      <w:start w:val="1"/>
      <w:numFmt w:val="bullet"/>
      <w:lvlText w:val=""/>
      <w:lvlJc w:val="left"/>
      <w:pPr>
        <w:tabs>
          <w:tab w:val="num" w:pos="360"/>
        </w:tabs>
        <w:ind w:left="360" w:hanging="360"/>
      </w:pPr>
      <w:rPr>
        <w:rFonts w:ascii="Wingdings" w:hAnsi="Wingdings" w:hint="default"/>
        <w:sz w:val="24"/>
      </w:rPr>
    </w:lvl>
    <w:lvl w:ilvl="1" w:tplc="AD984BBC" w:tentative="1">
      <w:start w:val="1"/>
      <w:numFmt w:val="bullet"/>
      <w:lvlText w:val="o"/>
      <w:lvlJc w:val="left"/>
      <w:pPr>
        <w:tabs>
          <w:tab w:val="num" w:pos="1440"/>
        </w:tabs>
        <w:ind w:left="1440" w:hanging="360"/>
      </w:pPr>
      <w:rPr>
        <w:rFonts w:ascii="Courier New" w:hAnsi="Courier New" w:cs="Courier New" w:hint="default"/>
      </w:rPr>
    </w:lvl>
    <w:lvl w:ilvl="2" w:tplc="D74AAE52" w:tentative="1">
      <w:start w:val="1"/>
      <w:numFmt w:val="bullet"/>
      <w:lvlText w:val=""/>
      <w:lvlJc w:val="left"/>
      <w:pPr>
        <w:tabs>
          <w:tab w:val="num" w:pos="2160"/>
        </w:tabs>
        <w:ind w:left="2160" w:hanging="360"/>
      </w:pPr>
      <w:rPr>
        <w:rFonts w:ascii="Wingdings" w:hAnsi="Wingdings" w:hint="default"/>
      </w:rPr>
    </w:lvl>
    <w:lvl w:ilvl="3" w:tplc="150250E8" w:tentative="1">
      <w:start w:val="1"/>
      <w:numFmt w:val="bullet"/>
      <w:lvlText w:val=""/>
      <w:lvlJc w:val="left"/>
      <w:pPr>
        <w:tabs>
          <w:tab w:val="num" w:pos="2880"/>
        </w:tabs>
        <w:ind w:left="2880" w:hanging="360"/>
      </w:pPr>
      <w:rPr>
        <w:rFonts w:ascii="Symbol" w:hAnsi="Symbol" w:hint="default"/>
      </w:rPr>
    </w:lvl>
    <w:lvl w:ilvl="4" w:tplc="25AED784" w:tentative="1">
      <w:start w:val="1"/>
      <w:numFmt w:val="bullet"/>
      <w:lvlText w:val="o"/>
      <w:lvlJc w:val="left"/>
      <w:pPr>
        <w:tabs>
          <w:tab w:val="num" w:pos="3600"/>
        </w:tabs>
        <w:ind w:left="3600" w:hanging="360"/>
      </w:pPr>
      <w:rPr>
        <w:rFonts w:ascii="Courier New" w:hAnsi="Courier New" w:cs="Courier New" w:hint="default"/>
      </w:rPr>
    </w:lvl>
    <w:lvl w:ilvl="5" w:tplc="A54E15C2" w:tentative="1">
      <w:start w:val="1"/>
      <w:numFmt w:val="bullet"/>
      <w:lvlText w:val=""/>
      <w:lvlJc w:val="left"/>
      <w:pPr>
        <w:tabs>
          <w:tab w:val="num" w:pos="4320"/>
        </w:tabs>
        <w:ind w:left="4320" w:hanging="360"/>
      </w:pPr>
      <w:rPr>
        <w:rFonts w:ascii="Wingdings" w:hAnsi="Wingdings" w:hint="default"/>
      </w:rPr>
    </w:lvl>
    <w:lvl w:ilvl="6" w:tplc="07C0A706" w:tentative="1">
      <w:start w:val="1"/>
      <w:numFmt w:val="bullet"/>
      <w:lvlText w:val=""/>
      <w:lvlJc w:val="left"/>
      <w:pPr>
        <w:tabs>
          <w:tab w:val="num" w:pos="5040"/>
        </w:tabs>
        <w:ind w:left="5040" w:hanging="360"/>
      </w:pPr>
      <w:rPr>
        <w:rFonts w:ascii="Symbol" w:hAnsi="Symbol" w:hint="default"/>
      </w:rPr>
    </w:lvl>
    <w:lvl w:ilvl="7" w:tplc="38103B08" w:tentative="1">
      <w:start w:val="1"/>
      <w:numFmt w:val="bullet"/>
      <w:lvlText w:val="o"/>
      <w:lvlJc w:val="left"/>
      <w:pPr>
        <w:tabs>
          <w:tab w:val="num" w:pos="5760"/>
        </w:tabs>
        <w:ind w:left="5760" w:hanging="360"/>
      </w:pPr>
      <w:rPr>
        <w:rFonts w:ascii="Courier New" w:hAnsi="Courier New" w:cs="Courier New" w:hint="default"/>
      </w:rPr>
    </w:lvl>
    <w:lvl w:ilvl="8" w:tplc="0B60E288" w:tentative="1">
      <w:start w:val="1"/>
      <w:numFmt w:val="bullet"/>
      <w:lvlText w:val=""/>
      <w:lvlJc w:val="left"/>
      <w:pPr>
        <w:tabs>
          <w:tab w:val="num" w:pos="6480"/>
        </w:tabs>
        <w:ind w:left="6480" w:hanging="360"/>
      </w:pPr>
      <w:rPr>
        <w:rFonts w:ascii="Wingdings" w:hAnsi="Wingdings" w:hint="default"/>
      </w:rPr>
    </w:lvl>
  </w:abstractNum>
  <w:abstractNum w:abstractNumId="15">
    <w:nsid w:val="6111083C"/>
    <w:multiLevelType w:val="hybridMultilevel"/>
    <w:tmpl w:val="1F72CE86"/>
    <w:lvl w:ilvl="0" w:tplc="15106866">
      <w:start w:val="1"/>
      <w:numFmt w:val="decimal"/>
      <w:lvlText w:val="%1)"/>
      <w:lvlJc w:val="left"/>
      <w:pPr>
        <w:tabs>
          <w:tab w:val="num" w:pos="360"/>
        </w:tabs>
        <w:ind w:left="360" w:hanging="360"/>
      </w:pPr>
    </w:lvl>
    <w:lvl w:ilvl="1" w:tplc="8E0035E8">
      <w:start w:val="1"/>
      <w:numFmt w:val="lowerLetter"/>
      <w:lvlText w:val="%2."/>
      <w:lvlJc w:val="left"/>
      <w:pPr>
        <w:tabs>
          <w:tab w:val="num" w:pos="1080"/>
        </w:tabs>
        <w:ind w:left="1080" w:hanging="360"/>
      </w:pPr>
    </w:lvl>
    <w:lvl w:ilvl="2" w:tplc="776275BE">
      <w:start w:val="1"/>
      <w:numFmt w:val="decimal"/>
      <w:lvlText w:val="%3."/>
      <w:lvlJc w:val="left"/>
      <w:pPr>
        <w:tabs>
          <w:tab w:val="num" w:pos="1980"/>
        </w:tabs>
        <w:ind w:left="1980" w:hanging="360"/>
      </w:pPr>
    </w:lvl>
    <w:lvl w:ilvl="3" w:tplc="645A3EB8" w:tentative="1">
      <w:start w:val="1"/>
      <w:numFmt w:val="decimal"/>
      <w:lvlText w:val="%4."/>
      <w:lvlJc w:val="left"/>
      <w:pPr>
        <w:tabs>
          <w:tab w:val="num" w:pos="2520"/>
        </w:tabs>
        <w:ind w:left="2520" w:hanging="360"/>
      </w:pPr>
    </w:lvl>
    <w:lvl w:ilvl="4" w:tplc="718EBD4C" w:tentative="1">
      <w:start w:val="1"/>
      <w:numFmt w:val="lowerLetter"/>
      <w:lvlText w:val="%5."/>
      <w:lvlJc w:val="left"/>
      <w:pPr>
        <w:tabs>
          <w:tab w:val="num" w:pos="3240"/>
        </w:tabs>
        <w:ind w:left="3240" w:hanging="360"/>
      </w:pPr>
    </w:lvl>
    <w:lvl w:ilvl="5" w:tplc="B12ED1AE" w:tentative="1">
      <w:start w:val="1"/>
      <w:numFmt w:val="lowerRoman"/>
      <w:lvlText w:val="%6."/>
      <w:lvlJc w:val="right"/>
      <w:pPr>
        <w:tabs>
          <w:tab w:val="num" w:pos="3960"/>
        </w:tabs>
        <w:ind w:left="3960" w:hanging="180"/>
      </w:pPr>
    </w:lvl>
    <w:lvl w:ilvl="6" w:tplc="ABE033A0" w:tentative="1">
      <w:start w:val="1"/>
      <w:numFmt w:val="decimal"/>
      <w:lvlText w:val="%7."/>
      <w:lvlJc w:val="left"/>
      <w:pPr>
        <w:tabs>
          <w:tab w:val="num" w:pos="4680"/>
        </w:tabs>
        <w:ind w:left="4680" w:hanging="360"/>
      </w:pPr>
    </w:lvl>
    <w:lvl w:ilvl="7" w:tplc="EED2B6CA" w:tentative="1">
      <w:start w:val="1"/>
      <w:numFmt w:val="lowerLetter"/>
      <w:lvlText w:val="%8."/>
      <w:lvlJc w:val="left"/>
      <w:pPr>
        <w:tabs>
          <w:tab w:val="num" w:pos="5400"/>
        </w:tabs>
        <w:ind w:left="5400" w:hanging="360"/>
      </w:pPr>
    </w:lvl>
    <w:lvl w:ilvl="8" w:tplc="0D78F0A8" w:tentative="1">
      <w:start w:val="1"/>
      <w:numFmt w:val="lowerRoman"/>
      <w:lvlText w:val="%9."/>
      <w:lvlJc w:val="right"/>
      <w:pPr>
        <w:tabs>
          <w:tab w:val="num" w:pos="6120"/>
        </w:tabs>
        <w:ind w:left="6120" w:hanging="180"/>
      </w:pPr>
    </w:lvl>
  </w:abstractNum>
  <w:abstractNum w:abstractNumId="16">
    <w:nsid w:val="61607C44"/>
    <w:multiLevelType w:val="hybridMultilevel"/>
    <w:tmpl w:val="C65066C6"/>
    <w:lvl w:ilvl="0" w:tplc="09C4098A">
      <w:start w:val="1"/>
      <w:numFmt w:val="lowerLetter"/>
      <w:lvlText w:val="%1)"/>
      <w:lvlJc w:val="left"/>
      <w:pPr>
        <w:tabs>
          <w:tab w:val="num" w:pos="720"/>
        </w:tabs>
        <w:ind w:left="720" w:hanging="360"/>
      </w:pPr>
    </w:lvl>
    <w:lvl w:ilvl="1" w:tplc="5156BD6C">
      <w:start w:val="1"/>
      <w:numFmt w:val="lowerLetter"/>
      <w:lvlText w:val="%2."/>
      <w:lvlJc w:val="left"/>
      <w:pPr>
        <w:tabs>
          <w:tab w:val="num" w:pos="1440"/>
        </w:tabs>
        <w:ind w:left="1440" w:hanging="360"/>
      </w:pPr>
    </w:lvl>
    <w:lvl w:ilvl="2" w:tplc="751E8EE4">
      <w:start w:val="1"/>
      <w:numFmt w:val="decimal"/>
      <w:lvlText w:val="%3."/>
      <w:lvlJc w:val="left"/>
      <w:pPr>
        <w:tabs>
          <w:tab w:val="num" w:pos="2340"/>
        </w:tabs>
        <w:ind w:left="2340" w:hanging="360"/>
      </w:pPr>
    </w:lvl>
    <w:lvl w:ilvl="3" w:tplc="2A3CBF76" w:tentative="1">
      <w:start w:val="1"/>
      <w:numFmt w:val="decimal"/>
      <w:lvlText w:val="%4."/>
      <w:lvlJc w:val="left"/>
      <w:pPr>
        <w:tabs>
          <w:tab w:val="num" w:pos="2880"/>
        </w:tabs>
        <w:ind w:left="2880" w:hanging="360"/>
      </w:pPr>
    </w:lvl>
    <w:lvl w:ilvl="4" w:tplc="AF48DB82" w:tentative="1">
      <w:start w:val="1"/>
      <w:numFmt w:val="lowerLetter"/>
      <w:lvlText w:val="%5."/>
      <w:lvlJc w:val="left"/>
      <w:pPr>
        <w:tabs>
          <w:tab w:val="num" w:pos="3600"/>
        </w:tabs>
        <w:ind w:left="3600" w:hanging="360"/>
      </w:pPr>
    </w:lvl>
    <w:lvl w:ilvl="5" w:tplc="9A809FD6" w:tentative="1">
      <w:start w:val="1"/>
      <w:numFmt w:val="lowerRoman"/>
      <w:lvlText w:val="%6."/>
      <w:lvlJc w:val="right"/>
      <w:pPr>
        <w:tabs>
          <w:tab w:val="num" w:pos="4320"/>
        </w:tabs>
        <w:ind w:left="4320" w:hanging="180"/>
      </w:pPr>
    </w:lvl>
    <w:lvl w:ilvl="6" w:tplc="59B00696" w:tentative="1">
      <w:start w:val="1"/>
      <w:numFmt w:val="decimal"/>
      <w:lvlText w:val="%7."/>
      <w:lvlJc w:val="left"/>
      <w:pPr>
        <w:tabs>
          <w:tab w:val="num" w:pos="5040"/>
        </w:tabs>
        <w:ind w:left="5040" w:hanging="360"/>
      </w:pPr>
    </w:lvl>
    <w:lvl w:ilvl="7" w:tplc="219846BC" w:tentative="1">
      <w:start w:val="1"/>
      <w:numFmt w:val="lowerLetter"/>
      <w:lvlText w:val="%8."/>
      <w:lvlJc w:val="left"/>
      <w:pPr>
        <w:tabs>
          <w:tab w:val="num" w:pos="5760"/>
        </w:tabs>
        <w:ind w:left="5760" w:hanging="360"/>
      </w:pPr>
    </w:lvl>
    <w:lvl w:ilvl="8" w:tplc="2752C0EA" w:tentative="1">
      <w:start w:val="1"/>
      <w:numFmt w:val="lowerRoman"/>
      <w:lvlText w:val="%9."/>
      <w:lvlJc w:val="right"/>
      <w:pPr>
        <w:tabs>
          <w:tab w:val="num" w:pos="6480"/>
        </w:tabs>
        <w:ind w:left="6480" w:hanging="180"/>
      </w:pPr>
    </w:lvl>
  </w:abstractNum>
  <w:abstractNum w:abstractNumId="17">
    <w:nsid w:val="67F734F5"/>
    <w:multiLevelType w:val="hybridMultilevel"/>
    <w:tmpl w:val="3F2C004A"/>
    <w:lvl w:ilvl="0" w:tplc="B89E0358">
      <w:start w:val="1"/>
      <w:numFmt w:val="lowerLetter"/>
      <w:lvlText w:val="%1)"/>
      <w:lvlJc w:val="left"/>
      <w:pPr>
        <w:tabs>
          <w:tab w:val="num" w:pos="720"/>
        </w:tabs>
        <w:ind w:left="720" w:hanging="360"/>
      </w:pPr>
    </w:lvl>
    <w:lvl w:ilvl="1" w:tplc="9CECB450">
      <w:start w:val="1"/>
      <w:numFmt w:val="lowerLetter"/>
      <w:lvlText w:val="%2."/>
      <w:lvlJc w:val="left"/>
      <w:pPr>
        <w:tabs>
          <w:tab w:val="num" w:pos="1440"/>
        </w:tabs>
        <w:ind w:left="1440" w:hanging="360"/>
      </w:pPr>
    </w:lvl>
    <w:lvl w:ilvl="2" w:tplc="EC4A7FC8">
      <w:start w:val="1"/>
      <w:numFmt w:val="decimal"/>
      <w:lvlText w:val="%3."/>
      <w:lvlJc w:val="left"/>
      <w:pPr>
        <w:tabs>
          <w:tab w:val="num" w:pos="2340"/>
        </w:tabs>
        <w:ind w:left="2340" w:hanging="360"/>
      </w:pPr>
    </w:lvl>
    <w:lvl w:ilvl="3" w:tplc="9488B1E6" w:tentative="1">
      <w:start w:val="1"/>
      <w:numFmt w:val="decimal"/>
      <w:lvlText w:val="%4."/>
      <w:lvlJc w:val="left"/>
      <w:pPr>
        <w:tabs>
          <w:tab w:val="num" w:pos="2880"/>
        </w:tabs>
        <w:ind w:left="2880" w:hanging="360"/>
      </w:pPr>
    </w:lvl>
    <w:lvl w:ilvl="4" w:tplc="746E44B4" w:tentative="1">
      <w:start w:val="1"/>
      <w:numFmt w:val="lowerLetter"/>
      <w:lvlText w:val="%5."/>
      <w:lvlJc w:val="left"/>
      <w:pPr>
        <w:tabs>
          <w:tab w:val="num" w:pos="3600"/>
        </w:tabs>
        <w:ind w:left="3600" w:hanging="360"/>
      </w:pPr>
    </w:lvl>
    <w:lvl w:ilvl="5" w:tplc="1FB4C5EE" w:tentative="1">
      <w:start w:val="1"/>
      <w:numFmt w:val="lowerRoman"/>
      <w:lvlText w:val="%6."/>
      <w:lvlJc w:val="right"/>
      <w:pPr>
        <w:tabs>
          <w:tab w:val="num" w:pos="4320"/>
        </w:tabs>
        <w:ind w:left="4320" w:hanging="180"/>
      </w:pPr>
    </w:lvl>
    <w:lvl w:ilvl="6" w:tplc="BD8078F8" w:tentative="1">
      <w:start w:val="1"/>
      <w:numFmt w:val="decimal"/>
      <w:lvlText w:val="%7."/>
      <w:lvlJc w:val="left"/>
      <w:pPr>
        <w:tabs>
          <w:tab w:val="num" w:pos="5040"/>
        </w:tabs>
        <w:ind w:left="5040" w:hanging="360"/>
      </w:pPr>
    </w:lvl>
    <w:lvl w:ilvl="7" w:tplc="338028FC" w:tentative="1">
      <w:start w:val="1"/>
      <w:numFmt w:val="lowerLetter"/>
      <w:lvlText w:val="%8."/>
      <w:lvlJc w:val="left"/>
      <w:pPr>
        <w:tabs>
          <w:tab w:val="num" w:pos="5760"/>
        </w:tabs>
        <w:ind w:left="5760" w:hanging="360"/>
      </w:pPr>
    </w:lvl>
    <w:lvl w:ilvl="8" w:tplc="911C4E6A" w:tentative="1">
      <w:start w:val="1"/>
      <w:numFmt w:val="lowerRoman"/>
      <w:lvlText w:val="%9."/>
      <w:lvlJc w:val="right"/>
      <w:pPr>
        <w:tabs>
          <w:tab w:val="num" w:pos="6480"/>
        </w:tabs>
        <w:ind w:left="6480" w:hanging="180"/>
      </w:pPr>
    </w:lvl>
  </w:abstractNum>
  <w:abstractNum w:abstractNumId="18">
    <w:nsid w:val="6FB83123"/>
    <w:multiLevelType w:val="hybridMultilevel"/>
    <w:tmpl w:val="76B8EB8E"/>
    <w:lvl w:ilvl="0" w:tplc="1576D4F8">
      <w:start w:val="1"/>
      <w:numFmt w:val="bullet"/>
      <w:lvlText w:val=""/>
      <w:lvlJc w:val="left"/>
      <w:pPr>
        <w:tabs>
          <w:tab w:val="num" w:pos="720"/>
        </w:tabs>
        <w:ind w:left="720" w:hanging="360"/>
      </w:pPr>
      <w:rPr>
        <w:rFonts w:ascii="Symbol" w:hAnsi="Symbol" w:hint="default"/>
      </w:rPr>
    </w:lvl>
    <w:lvl w:ilvl="1" w:tplc="CDF4C39E" w:tentative="1">
      <w:start w:val="1"/>
      <w:numFmt w:val="bullet"/>
      <w:lvlText w:val="o"/>
      <w:lvlJc w:val="left"/>
      <w:pPr>
        <w:tabs>
          <w:tab w:val="num" w:pos="1440"/>
        </w:tabs>
        <w:ind w:left="1440" w:hanging="360"/>
      </w:pPr>
      <w:rPr>
        <w:rFonts w:ascii="Courier New" w:hAnsi="Courier New" w:cs="Courier New" w:hint="default"/>
      </w:rPr>
    </w:lvl>
    <w:lvl w:ilvl="2" w:tplc="184C6132" w:tentative="1">
      <w:start w:val="1"/>
      <w:numFmt w:val="bullet"/>
      <w:lvlText w:val=""/>
      <w:lvlJc w:val="left"/>
      <w:pPr>
        <w:tabs>
          <w:tab w:val="num" w:pos="2160"/>
        </w:tabs>
        <w:ind w:left="2160" w:hanging="360"/>
      </w:pPr>
      <w:rPr>
        <w:rFonts w:ascii="Wingdings" w:hAnsi="Wingdings" w:hint="default"/>
      </w:rPr>
    </w:lvl>
    <w:lvl w:ilvl="3" w:tplc="44DC3350" w:tentative="1">
      <w:start w:val="1"/>
      <w:numFmt w:val="bullet"/>
      <w:lvlText w:val=""/>
      <w:lvlJc w:val="left"/>
      <w:pPr>
        <w:tabs>
          <w:tab w:val="num" w:pos="2880"/>
        </w:tabs>
        <w:ind w:left="2880" w:hanging="360"/>
      </w:pPr>
      <w:rPr>
        <w:rFonts w:ascii="Symbol" w:hAnsi="Symbol" w:hint="default"/>
      </w:rPr>
    </w:lvl>
    <w:lvl w:ilvl="4" w:tplc="E13A2AA4" w:tentative="1">
      <w:start w:val="1"/>
      <w:numFmt w:val="bullet"/>
      <w:lvlText w:val="o"/>
      <w:lvlJc w:val="left"/>
      <w:pPr>
        <w:tabs>
          <w:tab w:val="num" w:pos="3600"/>
        </w:tabs>
        <w:ind w:left="3600" w:hanging="360"/>
      </w:pPr>
      <w:rPr>
        <w:rFonts w:ascii="Courier New" w:hAnsi="Courier New" w:cs="Courier New" w:hint="default"/>
      </w:rPr>
    </w:lvl>
    <w:lvl w:ilvl="5" w:tplc="1DD0F428" w:tentative="1">
      <w:start w:val="1"/>
      <w:numFmt w:val="bullet"/>
      <w:lvlText w:val=""/>
      <w:lvlJc w:val="left"/>
      <w:pPr>
        <w:tabs>
          <w:tab w:val="num" w:pos="4320"/>
        </w:tabs>
        <w:ind w:left="4320" w:hanging="360"/>
      </w:pPr>
      <w:rPr>
        <w:rFonts w:ascii="Wingdings" w:hAnsi="Wingdings" w:hint="default"/>
      </w:rPr>
    </w:lvl>
    <w:lvl w:ilvl="6" w:tplc="5476985E" w:tentative="1">
      <w:start w:val="1"/>
      <w:numFmt w:val="bullet"/>
      <w:lvlText w:val=""/>
      <w:lvlJc w:val="left"/>
      <w:pPr>
        <w:tabs>
          <w:tab w:val="num" w:pos="5040"/>
        </w:tabs>
        <w:ind w:left="5040" w:hanging="360"/>
      </w:pPr>
      <w:rPr>
        <w:rFonts w:ascii="Symbol" w:hAnsi="Symbol" w:hint="default"/>
      </w:rPr>
    </w:lvl>
    <w:lvl w:ilvl="7" w:tplc="F8EE885C" w:tentative="1">
      <w:start w:val="1"/>
      <w:numFmt w:val="bullet"/>
      <w:lvlText w:val="o"/>
      <w:lvlJc w:val="left"/>
      <w:pPr>
        <w:tabs>
          <w:tab w:val="num" w:pos="5760"/>
        </w:tabs>
        <w:ind w:left="5760" w:hanging="360"/>
      </w:pPr>
      <w:rPr>
        <w:rFonts w:ascii="Courier New" w:hAnsi="Courier New" w:cs="Courier New" w:hint="default"/>
      </w:rPr>
    </w:lvl>
    <w:lvl w:ilvl="8" w:tplc="A20E6C70"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8"/>
  </w:num>
  <w:num w:numId="3">
    <w:abstractNumId w:val="9"/>
  </w:num>
  <w:num w:numId="4">
    <w:abstractNumId w:val="15"/>
  </w:num>
  <w:num w:numId="5">
    <w:abstractNumId w:val="7"/>
  </w:num>
  <w:num w:numId="6">
    <w:abstractNumId w:val="12"/>
  </w:num>
  <w:num w:numId="7">
    <w:abstractNumId w:val="11"/>
    <w:lvlOverride w:ilvl="0">
      <w:lvl w:ilvl="0">
        <w:start w:val="4"/>
        <w:numFmt w:val="decimal"/>
        <w:lvlText w:val="%1"/>
        <w:legacy w:legacy="1" w:legacySpace="0" w:legacyIndent="360"/>
        <w:lvlJc w:val="left"/>
        <w:rPr>
          <w:rFonts w:ascii="Arial" w:hAnsi="Arial" w:cs="Arial" w:hint="default"/>
        </w:rPr>
      </w:lvl>
    </w:lvlOverride>
  </w:num>
  <w:num w:numId="8">
    <w:abstractNumId w:val="14"/>
  </w:num>
  <w:num w:numId="9">
    <w:abstractNumId w:val="5"/>
  </w:num>
  <w:num w:numId="10">
    <w:abstractNumId w:val="13"/>
  </w:num>
  <w:num w:numId="11">
    <w:abstractNumId w:val="4"/>
  </w:num>
  <w:num w:numId="12">
    <w:abstractNumId w:val="0"/>
  </w:num>
  <w:num w:numId="13">
    <w:abstractNumId w:val="1"/>
  </w:num>
  <w:num w:numId="14">
    <w:abstractNumId w:val="16"/>
  </w:num>
  <w:num w:numId="15">
    <w:abstractNumId w:val="3"/>
  </w:num>
  <w:num w:numId="16">
    <w:abstractNumId w:val="6"/>
  </w:num>
  <w:num w:numId="17">
    <w:abstractNumId w:val="2"/>
  </w:num>
  <w:num w:numId="18">
    <w:abstractNumId w:val="10"/>
  </w:num>
  <w:num w:numId="1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stylePaneFormatFilter w:val="3F01"/>
  <w:doNotTrackMoves/>
  <w:defaultTabStop w:val="720"/>
  <w:characterSpacingControl w:val="doNotCompress"/>
  <w:hdrShapeDefaults>
    <o:shapedefaults v:ext="edit" spidmax="2049"/>
  </w:hdrShapeDefaults>
  <w:footnotePr>
    <w:footnote w:id="-1"/>
    <w:footnote w:id="0"/>
  </w:footnotePr>
  <w:endnotePr>
    <w:endnote w:id="-1"/>
    <w:endnote w:id="0"/>
  </w:endnotePr>
  <w:compat/>
  <w:rsids>
    <w:rsidRoot w:val="00FA437F"/>
    <w:rsid w:val="00444B2B"/>
    <w:rsid w:val="00677C6A"/>
    <w:rsid w:val="008763E2"/>
    <w:rsid w:val="00FA437F"/>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3438"/>
    <w:rPr>
      <w:rFonts w:ascii="Arial" w:hAnsi="Arial"/>
      <w:lang w:eastAsia="en-US"/>
    </w:rPr>
  </w:style>
  <w:style w:type="paragraph" w:styleId="Heading1">
    <w:name w:val="heading 1"/>
    <w:basedOn w:val="Doctitle"/>
    <w:next w:val="Normal"/>
    <w:qFormat/>
    <w:rsid w:val="008E3438"/>
    <w:pPr>
      <w:outlineLvl w:val="0"/>
    </w:pPr>
    <w:rPr>
      <w:b/>
    </w:rPr>
  </w:style>
  <w:style w:type="paragraph" w:styleId="Heading3">
    <w:name w:val="heading 3"/>
    <w:basedOn w:val="Normal"/>
    <w:next w:val="Normal"/>
    <w:qFormat/>
    <w:rsid w:val="008E3438"/>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E3438"/>
    <w:pPr>
      <w:tabs>
        <w:tab w:val="center" w:pos="4153"/>
        <w:tab w:val="right" w:pos="8306"/>
      </w:tabs>
      <w:ind w:right="-171"/>
    </w:pPr>
    <w:rPr>
      <w:rFonts w:cs="Tahoma"/>
      <w:sz w:val="16"/>
      <w:szCs w:val="16"/>
    </w:rPr>
  </w:style>
  <w:style w:type="character" w:styleId="PageNumber">
    <w:name w:val="page number"/>
    <w:basedOn w:val="DefaultParagraphFont"/>
    <w:rsid w:val="008E3438"/>
  </w:style>
  <w:style w:type="character" w:customStyle="1" w:styleId="instructions">
    <w:name w:val="instructions"/>
    <w:basedOn w:val="DefaultParagraphFont"/>
    <w:rsid w:val="008E3438"/>
    <w:rPr>
      <w:b/>
      <w:bCs/>
      <w:color w:val="FF0000"/>
    </w:rPr>
  </w:style>
  <w:style w:type="paragraph" w:styleId="Header">
    <w:name w:val="header"/>
    <w:basedOn w:val="Normal"/>
    <w:rsid w:val="008E3438"/>
    <w:pPr>
      <w:tabs>
        <w:tab w:val="center" w:pos="4153"/>
        <w:tab w:val="right" w:pos="8306"/>
      </w:tabs>
    </w:pPr>
  </w:style>
  <w:style w:type="table" w:styleId="TableGrid">
    <w:name w:val="Table Grid"/>
    <w:basedOn w:val="TableNormal"/>
    <w:rsid w:val="008E34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8E3438"/>
    <w:pPr>
      <w:spacing w:after="120"/>
    </w:pPr>
    <w:rPr>
      <w:rFonts w:ascii="Times New Roman" w:hAnsi="Times New Roman"/>
      <w:sz w:val="24"/>
      <w:szCs w:val="24"/>
      <w:lang w:val="en-US"/>
    </w:rPr>
  </w:style>
  <w:style w:type="paragraph" w:customStyle="1" w:styleId="Normalbullet">
    <w:name w:val="Normal bullet"/>
    <w:basedOn w:val="Normal"/>
    <w:rsid w:val="008E3438"/>
    <w:pPr>
      <w:numPr>
        <w:numId w:val="1"/>
      </w:numPr>
      <w:spacing w:before="60"/>
    </w:pPr>
  </w:style>
  <w:style w:type="paragraph" w:customStyle="1" w:styleId="tablelabel">
    <w:name w:val="table label"/>
    <w:basedOn w:val="Normal"/>
    <w:rsid w:val="008E3438"/>
    <w:rPr>
      <w:b/>
      <w:sz w:val="16"/>
    </w:rPr>
  </w:style>
  <w:style w:type="paragraph" w:customStyle="1" w:styleId="Doctitle">
    <w:name w:val="Doc title"/>
    <w:basedOn w:val="Normal"/>
    <w:link w:val="DoctitleCharChar"/>
    <w:rsid w:val="008E3438"/>
    <w:rPr>
      <w:sz w:val="24"/>
    </w:rPr>
  </w:style>
  <w:style w:type="character" w:customStyle="1" w:styleId="DoctitleCharChar">
    <w:name w:val="Doc title Char Char"/>
    <w:basedOn w:val="DefaultParagraphFont"/>
    <w:link w:val="Doctitle"/>
    <w:rsid w:val="008E3438"/>
    <w:rPr>
      <w:rFonts w:ascii="Arial" w:hAnsi="Arial"/>
      <w:sz w:val="24"/>
      <w:lang w:val="en-AU" w:eastAsia="en-US" w:bidi="ar-SA"/>
    </w:rPr>
  </w:style>
  <w:style w:type="paragraph" w:styleId="Subtitle">
    <w:name w:val="Subtitle"/>
    <w:basedOn w:val="Normal"/>
    <w:qFormat/>
    <w:rsid w:val="008E3438"/>
    <w:rPr>
      <w:rFonts w:ascii="Palatino" w:hAnsi="Palatino"/>
      <w:b/>
      <w:sz w:val="24"/>
    </w:rPr>
  </w:style>
  <w:style w:type="character" w:styleId="CommentReference">
    <w:name w:val="annotation reference"/>
    <w:basedOn w:val="DefaultParagraphFont"/>
    <w:semiHidden/>
    <w:rsid w:val="00F85A1E"/>
    <w:rPr>
      <w:sz w:val="16"/>
      <w:szCs w:val="16"/>
    </w:rPr>
  </w:style>
  <w:style w:type="paragraph" w:styleId="CommentText">
    <w:name w:val="annotation text"/>
    <w:basedOn w:val="Normal"/>
    <w:semiHidden/>
    <w:rsid w:val="00F85A1E"/>
  </w:style>
  <w:style w:type="paragraph" w:styleId="BalloonText">
    <w:name w:val="Balloon Text"/>
    <w:basedOn w:val="Normal"/>
    <w:semiHidden/>
    <w:rsid w:val="00F85A1E"/>
    <w:rPr>
      <w:rFonts w:ascii="Tahoma" w:hAnsi="Tahoma" w:cs="Tahoma"/>
      <w:sz w:val="16"/>
      <w:szCs w:val="16"/>
    </w:rPr>
  </w:style>
  <w:style w:type="paragraph" w:styleId="ListNumber">
    <w:name w:val="List Number"/>
    <w:basedOn w:val="Normal"/>
    <w:rsid w:val="00ED404D"/>
    <w:pPr>
      <w:contextualSpacing/>
    </w:pPr>
  </w:style>
  <w:style w:type="paragraph" w:styleId="ListBullet">
    <w:name w:val="List Bullet"/>
    <w:basedOn w:val="Normal"/>
    <w:rsid w:val="00817D3C"/>
    <w:pPr>
      <w:numPr>
        <w:numId w:val="13"/>
      </w:numPr>
      <w:contextualSpacing/>
    </w:pPr>
  </w:style>
  <w:style w:type="character" w:customStyle="1" w:styleId="A16">
    <w:name w:val="A16"/>
    <w:uiPriority w:val="99"/>
    <w:rsid w:val="0090441C"/>
    <w:rPr>
      <w:rFonts w:cs="Myriad Pro"/>
      <w:color w:val="000000"/>
      <w:sz w:val="18"/>
      <w:szCs w:val="18"/>
    </w:rPr>
  </w:style>
  <w:style w:type="character" w:customStyle="1" w:styleId="FooterChar">
    <w:name w:val="Footer Char"/>
    <w:basedOn w:val="DefaultParagraphFont"/>
    <w:link w:val="Footer"/>
    <w:uiPriority w:val="99"/>
    <w:rsid w:val="001F27CB"/>
    <w:rPr>
      <w:rFonts w:ascii="Arial" w:hAnsi="Arial"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1990</Words>
  <Characters>11346</Characters>
  <Application>Microsoft Office Word</Application>
  <DocSecurity>0</DocSecurity>
  <Lines>94</Lines>
  <Paragraphs>26</Paragraphs>
  <ScaleCrop>false</ScaleCrop>
  <Company/>
  <LinksUpToDate>false</LinksUpToDate>
  <CharactersWithSpaces>13310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Melbourne’s South Eastern Growth Corridor</dc:title>
  <dc:creator/>
  <cp:lastModifiedBy/>
  <cp:revision>1</cp:revision>
  <dcterms:created xsi:type="dcterms:W3CDTF">2014-09-18T04:21:00Z</dcterms:created>
  <dcterms:modified xsi:type="dcterms:W3CDTF">2014-09-18T04:22:00Z</dcterms:modified>
</cp:coreProperties>
</file>