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679"/>
        <w:tblW w:w="9904" w:type="dxa"/>
        <w:tblLook w:val="01E0" w:firstRow="1" w:lastRow="1" w:firstColumn="1" w:lastColumn="1" w:noHBand="0" w:noVBand="0"/>
      </w:tblPr>
      <w:tblGrid>
        <w:gridCol w:w="9904"/>
      </w:tblGrid>
      <w:tr w:rsidR="009759EA" w:rsidRPr="00F74678" w:rsidTr="009861E4">
        <w:trPr>
          <w:trHeight w:hRule="exact" w:val="2683"/>
        </w:trPr>
        <w:tc>
          <w:tcPr>
            <w:tcW w:w="9904" w:type="dxa"/>
            <w:shd w:val="clear" w:color="auto" w:fill="auto"/>
          </w:tcPr>
          <w:p w:rsidR="009759EA" w:rsidRPr="00DA70E5" w:rsidRDefault="009759EA" w:rsidP="009861E4">
            <w:pPr>
              <w:pStyle w:val="CertHBWhite"/>
              <w:spacing w:before="240" w:after="240"/>
              <w:rPr>
                <w:sz w:val="60"/>
                <w:szCs w:val="60"/>
              </w:rPr>
            </w:pPr>
            <w:r w:rsidRPr="00DA70E5">
              <w:rPr>
                <w:sz w:val="60"/>
                <w:szCs w:val="60"/>
              </w:rPr>
              <w:t xml:space="preserve">Notice of </w:t>
            </w:r>
            <w:r w:rsidR="004C0F82">
              <w:rPr>
                <w:sz w:val="60"/>
                <w:szCs w:val="60"/>
              </w:rPr>
              <w:t>Approved</w:t>
            </w:r>
            <w:r w:rsidRPr="00DA70E5">
              <w:rPr>
                <w:sz w:val="60"/>
                <w:szCs w:val="60"/>
              </w:rPr>
              <w:t xml:space="preserve"> Boundary Change</w:t>
            </w:r>
          </w:p>
          <w:p w:rsidR="009759EA" w:rsidRPr="00DE5117" w:rsidRDefault="009759EA" w:rsidP="009861E4">
            <w:pPr>
              <w:pStyle w:val="CertHBWhite"/>
              <w:spacing w:before="240" w:after="240"/>
            </w:pPr>
          </w:p>
        </w:tc>
      </w:tr>
    </w:tbl>
    <w:bookmarkStart w:id="0" w:name="Here"/>
    <w:bookmarkEnd w:id="0"/>
    <w:p w:rsidR="009759EA" w:rsidRDefault="009759EA" w:rsidP="009759EA">
      <w:pPr>
        <w:pStyle w:val="HA"/>
        <w:rPr>
          <w:rFonts w:eastAsia="Calibri"/>
        </w:rPr>
      </w:pPr>
      <w:r>
        <w:rPr>
          <w:noProof/>
          <w:lang w:val="en-AU" w:eastAsia="en-AU"/>
        </w:rPr>
        <mc:AlternateContent>
          <mc:Choice Requires="wps">
            <w:drawing>
              <wp:anchor distT="0" distB="0" distL="114300" distR="114300" simplePos="0" relativeHeight="251659264" behindDoc="0" locked="0" layoutInCell="1" allowOverlap="1" wp14:anchorId="2B989E84" wp14:editId="1905F763">
                <wp:simplePos x="0" y="0"/>
                <wp:positionH relativeFrom="column">
                  <wp:posOffset>-210185</wp:posOffset>
                </wp:positionH>
                <wp:positionV relativeFrom="paragraph">
                  <wp:posOffset>621665</wp:posOffset>
                </wp:positionV>
                <wp:extent cx="6559550" cy="37084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9550" cy="370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59EA" w:rsidRDefault="009759EA" w:rsidP="009759EA">
                            <w:pPr>
                              <w:rPr>
                                <w:rFonts w:asciiTheme="minorHAnsi" w:hAnsiTheme="minorHAnsi" w:cstheme="minorHAnsi"/>
                                <w:color w:val="FFFFFF"/>
                                <w:sz w:val="40"/>
                                <w:szCs w:val="40"/>
                              </w:rPr>
                            </w:pPr>
                            <w:r>
                              <w:rPr>
                                <w:rFonts w:asciiTheme="minorHAnsi" w:hAnsiTheme="minorHAnsi" w:cstheme="minorHAnsi"/>
                                <w:color w:val="FFFFFF"/>
                                <w:sz w:val="40"/>
                                <w:szCs w:val="40"/>
                              </w:rPr>
                              <w:t>Biodiversity Conservation Strategy Conservation Area 15</w:t>
                            </w:r>
                          </w:p>
                          <w:p w:rsidR="009759EA" w:rsidRPr="008110B2" w:rsidRDefault="009759EA" w:rsidP="009759EA">
                            <w:pPr>
                              <w:rPr>
                                <w:rFonts w:asciiTheme="minorHAnsi" w:hAnsiTheme="minorHAnsi" w:cstheme="minorHAnsi"/>
                                <w:color w:val="FFFFFF"/>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6.55pt;margin-top:48.95pt;width:516.5pt;height:2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N/jtgIAALk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" filled="f" stroked="f">
                <v:textbox>
                  <w:txbxContent>
                    <w:p w:rsidR="009759EA" w:rsidRDefault="009759EA" w:rsidP="009759EA">
                      <w:pPr>
                        <w:rPr>
                          <w:rFonts w:asciiTheme="minorHAnsi" w:hAnsiTheme="minorHAnsi" w:cstheme="minorHAnsi"/>
                          <w:color w:val="FFFFFF"/>
                          <w:sz w:val="40"/>
                          <w:szCs w:val="40"/>
                        </w:rPr>
                      </w:pPr>
                      <w:r>
                        <w:rPr>
                          <w:rFonts w:asciiTheme="minorHAnsi" w:hAnsiTheme="minorHAnsi" w:cstheme="minorHAnsi"/>
                          <w:color w:val="FFFFFF"/>
                          <w:sz w:val="40"/>
                          <w:szCs w:val="40"/>
                        </w:rPr>
                        <w:t xml:space="preserve">Biodiversity Conservation Strategy Conservation Area </w:t>
                      </w:r>
                      <w:r>
                        <w:rPr>
                          <w:rFonts w:asciiTheme="minorHAnsi" w:hAnsiTheme="minorHAnsi" w:cstheme="minorHAnsi"/>
                          <w:color w:val="FFFFFF"/>
                          <w:sz w:val="40"/>
                          <w:szCs w:val="40"/>
                        </w:rPr>
                        <w:t>15</w:t>
                      </w:r>
                    </w:p>
                    <w:p w:rsidR="009759EA" w:rsidRPr="008110B2" w:rsidRDefault="009759EA" w:rsidP="009759EA">
                      <w:pPr>
                        <w:rPr>
                          <w:rFonts w:asciiTheme="minorHAnsi" w:hAnsiTheme="minorHAnsi" w:cstheme="minorHAnsi"/>
                          <w:color w:val="FFFFFF"/>
                          <w:sz w:val="40"/>
                          <w:szCs w:val="40"/>
                        </w:rPr>
                      </w:pPr>
                    </w:p>
                  </w:txbxContent>
                </v:textbox>
              </v:shape>
            </w:pict>
          </mc:Fallback>
        </mc:AlternateContent>
      </w:r>
      <w:r>
        <w:rPr>
          <w:rFonts w:eastAsia="Calibri"/>
        </w:rPr>
        <w:t xml:space="preserve">Conservation Area 15- </w:t>
      </w:r>
      <w:r>
        <w:rPr>
          <w:rFonts w:cs="Calibri"/>
        </w:rPr>
        <w:t xml:space="preserve">Western Growth Corridors: Growling Grass Frog corridor (north) </w:t>
      </w:r>
    </w:p>
    <w:p w:rsidR="009759EA" w:rsidRPr="00AE6ECD" w:rsidRDefault="009759EA" w:rsidP="009759EA">
      <w:pPr>
        <w:pStyle w:val="Body"/>
        <w:rPr>
          <w:rFonts w:eastAsia="Calibri"/>
          <w:b/>
          <w:szCs w:val="22"/>
          <w:lang w:val="en-US"/>
        </w:rPr>
      </w:pPr>
      <w:r w:rsidRPr="000D643A">
        <w:rPr>
          <w:rFonts w:eastAsia="Calibri"/>
          <w:b/>
          <w:sz w:val="24"/>
        </w:rPr>
        <w:t xml:space="preserve">Summary </w:t>
      </w:r>
    </w:p>
    <w:p w:rsidR="009759EA" w:rsidRPr="00AE6ECD" w:rsidRDefault="009759EA" w:rsidP="009759EA">
      <w:pPr>
        <w:pStyle w:val="Body"/>
        <w:rPr>
          <w:rFonts w:eastAsiaTheme="minorHAnsi" w:cs="Calibri"/>
          <w:szCs w:val="22"/>
        </w:rPr>
      </w:pPr>
    </w:p>
    <w:p w:rsidR="00215E08" w:rsidRDefault="009759EA" w:rsidP="00AE6ECD">
      <w:pPr>
        <w:pStyle w:val="CertHBWhite"/>
        <w:spacing w:line="240" w:lineRule="auto"/>
        <w:rPr>
          <w:rFonts w:cs="Times New Roman"/>
          <w:color w:val="auto"/>
          <w:sz w:val="22"/>
        </w:rPr>
      </w:pPr>
      <w:r w:rsidRPr="00AE6ECD">
        <w:rPr>
          <w:rFonts w:cs="Times New Roman"/>
          <w:color w:val="auto"/>
          <w:sz w:val="22"/>
        </w:rPr>
        <w:t>For Growling Grass Frog conservation areas, the Commonwealth approvals provide flexibility for the Victorian Government to make slight changes to the boundaries of these conservation areas to maximise their design and function.</w:t>
      </w:r>
      <w:r w:rsidR="00AE6ECD" w:rsidRPr="00AE6ECD">
        <w:rPr>
          <w:rFonts w:cs="Times New Roman"/>
          <w:color w:val="auto"/>
          <w:sz w:val="22"/>
        </w:rPr>
        <w:t xml:space="preserve"> </w:t>
      </w:r>
      <w:r w:rsidR="00AE6ECD" w:rsidRPr="00A0788E">
        <w:rPr>
          <w:rFonts w:cs="Times New Roman"/>
          <w:color w:val="auto"/>
          <w:sz w:val="22"/>
        </w:rPr>
        <w:t xml:space="preserve">DELWP will consider supporting applications of proposed adjustments to </w:t>
      </w:r>
      <w:r w:rsidR="00AE6ECD" w:rsidRPr="00AE6ECD">
        <w:rPr>
          <w:rFonts w:cs="Times New Roman"/>
          <w:color w:val="auto"/>
          <w:sz w:val="22"/>
        </w:rPr>
        <w:t xml:space="preserve">Growling Grass Frog corridors where they result in a 85% or greater probability of a better outcome for the species or the adjustment is required to meet particular site specific issues. </w:t>
      </w:r>
      <w:r w:rsidR="00AE6ECD">
        <w:rPr>
          <w:rFonts w:cs="Times New Roman"/>
          <w:color w:val="auto"/>
          <w:sz w:val="22"/>
        </w:rPr>
        <w:t xml:space="preserve">The </w:t>
      </w:r>
      <w:r w:rsidR="00AE6ECD" w:rsidRPr="00AE6ECD">
        <w:rPr>
          <w:rFonts w:cs="Times New Roman"/>
          <w:color w:val="auto"/>
          <w:sz w:val="22"/>
        </w:rPr>
        <w:t>Guidance note: Implementing the Biodiversity Conservation Strategy for Melbourne’s Growth Corridors</w:t>
      </w:r>
      <w:r w:rsidR="00AE6ECD">
        <w:rPr>
          <w:rFonts w:cs="Times New Roman"/>
          <w:color w:val="auto"/>
          <w:sz w:val="22"/>
        </w:rPr>
        <w:t xml:space="preserve"> outlines the site specific criteria that may require boundary changes and includes rectifying errors in mapping within the Biodiversity Conservation Strategy (BCS) </w:t>
      </w:r>
    </w:p>
    <w:p w:rsidR="00AE6ECD" w:rsidRPr="00AE6ECD" w:rsidRDefault="00AE6ECD" w:rsidP="00AE6ECD">
      <w:pPr>
        <w:pStyle w:val="CertHBWhite"/>
        <w:spacing w:line="240" w:lineRule="auto"/>
        <w:rPr>
          <w:rFonts w:cs="Times New Roman"/>
          <w:color w:val="auto"/>
          <w:sz w:val="22"/>
        </w:rPr>
      </w:pPr>
    </w:p>
    <w:p w:rsidR="006508A7" w:rsidRPr="00D60DE6" w:rsidRDefault="009759EA" w:rsidP="00D60DE6">
      <w:pPr>
        <w:spacing w:after="100" w:afterAutospacing="1" w:line="120" w:lineRule="atLeast"/>
      </w:pPr>
      <w:r>
        <w:t xml:space="preserve">Amendments to the boundary of conservation are 15 are required to align the boundary identified in the </w:t>
      </w:r>
      <w:r w:rsidR="00AE6ECD">
        <w:t xml:space="preserve">BCS </w:t>
      </w:r>
      <w:r>
        <w:t xml:space="preserve">with the boundary identified in the </w:t>
      </w:r>
      <w:r w:rsidR="00AE6ECD">
        <w:t xml:space="preserve">gazetted </w:t>
      </w:r>
      <w:r>
        <w:t xml:space="preserve">Rockbank North Precinct Structure Plan (The PSP). The </w:t>
      </w:r>
      <w:r w:rsidR="00AE6ECD">
        <w:t xml:space="preserve">PSP and BCS were developed in parallel and resulted in some small discrepancies that require adjustment. The PSP was gazetted based on conservation area boundaries based on the Conservation Management Plan for the conservation area which was subsequently approved by the Department of Environment, Land, Water and Panning (DEWLP, then the Department of Sustainable and Environment). The BCS was published in May 2013 </w:t>
      </w:r>
      <w:r w:rsidR="00D60DE6">
        <w:rPr>
          <w:rFonts w:cs="Calibri"/>
          <w:szCs w:val="22"/>
          <w:lang w:eastAsia="en-AU"/>
        </w:rPr>
        <w:t>and</w:t>
      </w:r>
      <w:r w:rsidR="00D60DE6" w:rsidRPr="00D60DE6">
        <w:rPr>
          <w:rFonts w:cs="Calibri"/>
          <w:szCs w:val="22"/>
          <w:lang w:eastAsia="en-AU"/>
        </w:rPr>
        <w:t xml:space="preserve"> </w:t>
      </w:r>
      <w:r w:rsidR="00D60DE6" w:rsidRPr="007B20F0">
        <w:rPr>
          <w:rFonts w:cs="Calibri"/>
          <w:szCs w:val="22"/>
          <w:lang w:eastAsia="en-AU"/>
        </w:rPr>
        <w:t>did not incorporate the final agreed boundary</w:t>
      </w:r>
      <w:r w:rsidR="00D60DE6">
        <w:t xml:space="preserve"> </w:t>
      </w:r>
      <w:r w:rsidR="00AE6ECD">
        <w:t xml:space="preserve">from the gazetted </w:t>
      </w:r>
      <w:r w:rsidR="006508A7">
        <w:t>PSP (June 2012)</w:t>
      </w:r>
      <w:r>
        <w:t xml:space="preserve">. </w:t>
      </w:r>
      <w:r w:rsidR="00D60DE6" w:rsidRPr="007B20F0">
        <w:rPr>
          <w:rFonts w:cs="Calibri"/>
          <w:szCs w:val="22"/>
          <w:lang w:eastAsia="en-AU"/>
        </w:rPr>
        <w:t>Very minor corrections to the boundary shown in the PSP also need to be made to align it with the Rural Conservation Zone where this was intended</w:t>
      </w:r>
      <w:r w:rsidR="00D60DE6">
        <w:rPr>
          <w:rFonts w:cs="Calibri"/>
          <w:szCs w:val="22"/>
          <w:lang w:eastAsia="en-AU"/>
        </w:rPr>
        <w:t xml:space="preserve"> </w:t>
      </w:r>
      <w:r w:rsidR="006508A7">
        <w:t>to be positioned</w:t>
      </w:r>
      <w:r w:rsidR="00215E08" w:rsidRPr="00AE6ECD">
        <w:t xml:space="preserve">. </w:t>
      </w:r>
      <w:r w:rsidR="006508A7">
        <w:t>The following amendments are required</w:t>
      </w:r>
    </w:p>
    <w:p w:rsidR="006508A7" w:rsidRPr="006508A7" w:rsidRDefault="006508A7" w:rsidP="00D60DE6">
      <w:pPr>
        <w:pStyle w:val="ReplyLet"/>
        <w:numPr>
          <w:ilvl w:val="0"/>
          <w:numId w:val="7"/>
        </w:numPr>
        <w:spacing w:before="60" w:after="60"/>
        <w:rPr>
          <w:rFonts w:ascii="Calibri" w:eastAsia="Times New Roman" w:hAnsi="Calibri" w:cs="Times New Roman"/>
          <w:sz w:val="22"/>
        </w:rPr>
      </w:pPr>
      <w:r w:rsidRPr="006508A7">
        <w:rPr>
          <w:rFonts w:ascii="Calibri" w:eastAsia="Times New Roman" w:hAnsi="Calibri" w:cs="Times New Roman"/>
          <w:sz w:val="22"/>
        </w:rPr>
        <w:t xml:space="preserve">Multiple additions and subtractions along Kororoit Creek and around the </w:t>
      </w:r>
      <w:proofErr w:type="spellStart"/>
      <w:r w:rsidRPr="006508A7">
        <w:rPr>
          <w:rFonts w:ascii="Calibri" w:eastAsia="Times New Roman" w:hAnsi="Calibri" w:cs="Times New Roman"/>
          <w:sz w:val="22"/>
        </w:rPr>
        <w:t>Deanside</w:t>
      </w:r>
      <w:proofErr w:type="spellEnd"/>
      <w:r w:rsidRPr="006508A7">
        <w:rPr>
          <w:rFonts w:ascii="Calibri" w:eastAsia="Times New Roman" w:hAnsi="Calibri" w:cs="Times New Roman"/>
          <w:sz w:val="22"/>
        </w:rPr>
        <w:t xml:space="preserve"> Wetlands resulting in a net loss of 14.730 hectares. The main subtractions include:</w:t>
      </w:r>
    </w:p>
    <w:p w:rsidR="006508A7" w:rsidRPr="006508A7" w:rsidRDefault="006508A7" w:rsidP="00D60DE6">
      <w:pPr>
        <w:pStyle w:val="ReplyLet"/>
        <w:numPr>
          <w:ilvl w:val="1"/>
          <w:numId w:val="8"/>
        </w:numPr>
        <w:spacing w:before="60" w:after="60"/>
        <w:rPr>
          <w:rFonts w:ascii="Calibri" w:eastAsia="Times New Roman" w:hAnsi="Calibri" w:cs="Times New Roman"/>
          <w:sz w:val="22"/>
        </w:rPr>
      </w:pPr>
      <w:r w:rsidRPr="006508A7">
        <w:rPr>
          <w:rFonts w:ascii="Calibri" w:eastAsia="Times New Roman" w:hAnsi="Calibri" w:cs="Times New Roman"/>
          <w:sz w:val="22"/>
        </w:rPr>
        <w:t xml:space="preserve">an area on the north bank of Kororoit Creek identified in the PSP for Active Open Space (which is not normally compatible with a conservation area), </w:t>
      </w:r>
    </w:p>
    <w:p w:rsidR="006508A7" w:rsidRPr="006508A7" w:rsidRDefault="006508A7" w:rsidP="00D60DE6">
      <w:pPr>
        <w:pStyle w:val="ReplyLet"/>
        <w:numPr>
          <w:ilvl w:val="1"/>
          <w:numId w:val="8"/>
        </w:numPr>
        <w:spacing w:before="60" w:after="60"/>
        <w:rPr>
          <w:rFonts w:ascii="Calibri" w:eastAsia="Times New Roman" w:hAnsi="Calibri" w:cs="Times New Roman"/>
          <w:sz w:val="22"/>
        </w:rPr>
      </w:pPr>
      <w:r w:rsidRPr="006508A7">
        <w:rPr>
          <w:rFonts w:ascii="Calibri" w:eastAsia="Times New Roman" w:hAnsi="Calibri" w:cs="Times New Roman"/>
          <w:sz w:val="22"/>
        </w:rPr>
        <w:t>the adjacent area identified as encumbered “Waterway – drainage/flooding” because it is within the 100 year flood level;</w:t>
      </w:r>
    </w:p>
    <w:p w:rsidR="006508A7" w:rsidRPr="006508A7" w:rsidRDefault="006508A7" w:rsidP="00D60DE6">
      <w:pPr>
        <w:pStyle w:val="ReplyLet"/>
        <w:numPr>
          <w:ilvl w:val="1"/>
          <w:numId w:val="8"/>
        </w:numPr>
        <w:spacing w:before="60" w:after="60"/>
        <w:rPr>
          <w:rFonts w:ascii="Calibri" w:eastAsia="Times New Roman" w:hAnsi="Calibri" w:cs="Times New Roman"/>
          <w:sz w:val="22"/>
        </w:rPr>
      </w:pPr>
      <w:r w:rsidRPr="006508A7">
        <w:rPr>
          <w:rFonts w:ascii="Calibri" w:eastAsia="Times New Roman" w:hAnsi="Calibri" w:cs="Times New Roman"/>
          <w:sz w:val="22"/>
        </w:rPr>
        <w:t>the minor tributary from the northeast, which is also encumbered “Waterway – drainage/flooding”</w:t>
      </w:r>
    </w:p>
    <w:p w:rsidR="006508A7" w:rsidRPr="006508A7" w:rsidRDefault="006508A7" w:rsidP="00D60DE6">
      <w:pPr>
        <w:pStyle w:val="ReplyLet"/>
        <w:numPr>
          <w:ilvl w:val="1"/>
          <w:numId w:val="8"/>
        </w:numPr>
        <w:spacing w:before="60" w:after="60"/>
        <w:rPr>
          <w:rFonts w:ascii="Calibri" w:eastAsia="Times New Roman" w:hAnsi="Calibri" w:cs="Times New Roman"/>
          <w:sz w:val="22"/>
        </w:rPr>
      </w:pPr>
      <w:r w:rsidRPr="006508A7">
        <w:rPr>
          <w:rFonts w:ascii="Calibri" w:eastAsia="Times New Roman" w:hAnsi="Calibri" w:cs="Times New Roman"/>
          <w:sz w:val="22"/>
        </w:rPr>
        <w:t xml:space="preserve">the northwest corner of the conservation area around the western </w:t>
      </w:r>
      <w:proofErr w:type="spellStart"/>
      <w:r w:rsidRPr="006508A7">
        <w:rPr>
          <w:rFonts w:ascii="Calibri" w:eastAsia="Times New Roman" w:hAnsi="Calibri" w:cs="Times New Roman"/>
          <w:sz w:val="22"/>
        </w:rPr>
        <w:t>Deanside</w:t>
      </w:r>
      <w:proofErr w:type="spellEnd"/>
      <w:r w:rsidRPr="006508A7">
        <w:rPr>
          <w:rFonts w:ascii="Calibri" w:eastAsia="Times New Roman" w:hAnsi="Calibri" w:cs="Times New Roman"/>
          <w:sz w:val="22"/>
        </w:rPr>
        <w:t xml:space="preserve"> Wetland, to reflect the shape of the existing wetland.</w:t>
      </w:r>
    </w:p>
    <w:p w:rsidR="00215E08" w:rsidRPr="006508A7" w:rsidRDefault="006508A7" w:rsidP="00D60DE6">
      <w:pPr>
        <w:pStyle w:val="ReplyLet"/>
        <w:numPr>
          <w:ilvl w:val="0"/>
          <w:numId w:val="7"/>
        </w:numPr>
        <w:spacing w:before="60" w:after="60"/>
        <w:rPr>
          <w:rFonts w:ascii="Calibri" w:eastAsia="Times New Roman" w:hAnsi="Calibri" w:cs="Times New Roman"/>
          <w:sz w:val="22"/>
        </w:rPr>
      </w:pPr>
      <w:r w:rsidRPr="006508A7">
        <w:rPr>
          <w:rFonts w:ascii="Calibri" w:eastAsia="Times New Roman" w:hAnsi="Calibri" w:cs="Times New Roman"/>
          <w:sz w:val="22"/>
        </w:rPr>
        <w:t xml:space="preserve">Removal of the “Potential GGF habitat link” alongside the proposed OMR easement resulting in a loss of 7.039 ha.  The potential link was identified as dependant on the impact of the Outer Metropolitan Ring Transport corridor (OMR). Since this time DELWP has developed draft standards for the design and construction of GGF passage structures under roads and a population modelling tool, both of which will </w:t>
      </w:r>
      <w:r w:rsidRPr="006508A7">
        <w:rPr>
          <w:rFonts w:ascii="Calibri" w:eastAsia="Times New Roman" w:hAnsi="Calibri" w:cs="Times New Roman"/>
          <w:sz w:val="22"/>
        </w:rPr>
        <w:lastRenderedPageBreak/>
        <w:t xml:space="preserve">assist in the design of the OMR to minimise the barrier to GGF passage. The proposed link is not included in the PSP. </w:t>
      </w:r>
    </w:p>
    <w:p w:rsidR="009759EA" w:rsidRPr="00812E4F" w:rsidRDefault="007B20F0" w:rsidP="009759EA">
      <w:pPr>
        <w:pStyle w:val="ReplyLet"/>
        <w:rPr>
          <w:rFonts w:ascii="Calibri" w:hAnsi="Calibri" w:cs="Calibri"/>
          <w:color w:val="000000" w:themeColor="text1"/>
          <w:sz w:val="22"/>
          <w:szCs w:val="22"/>
        </w:rPr>
      </w:pPr>
      <w:r>
        <w:rPr>
          <w:rFonts w:ascii="Calibri" w:hAnsi="Calibri" w:cs="Calibri"/>
          <w:color w:val="000000" w:themeColor="text1"/>
          <w:sz w:val="22"/>
          <w:szCs w:val="22"/>
        </w:rPr>
        <w:t xml:space="preserve">The </w:t>
      </w:r>
      <w:r w:rsidR="004C0F82">
        <w:rPr>
          <w:rFonts w:ascii="Calibri" w:hAnsi="Calibri" w:cs="Calibri"/>
          <w:color w:val="000000" w:themeColor="text1"/>
          <w:sz w:val="22"/>
          <w:szCs w:val="22"/>
        </w:rPr>
        <w:t>approved</w:t>
      </w:r>
      <w:r>
        <w:rPr>
          <w:rFonts w:ascii="Calibri" w:hAnsi="Calibri" w:cs="Calibri"/>
          <w:color w:val="000000" w:themeColor="text1"/>
          <w:sz w:val="22"/>
          <w:szCs w:val="22"/>
        </w:rPr>
        <w:t xml:space="preserve"> change results in no loss of GGF habitat, as the master plan is based on the conservation areas identified in the PSP. </w:t>
      </w:r>
      <w:r w:rsidR="009759EA">
        <w:rPr>
          <w:rFonts w:ascii="Calibri" w:hAnsi="Calibri" w:cs="Calibri"/>
          <w:color w:val="000000" w:themeColor="text1"/>
          <w:sz w:val="22"/>
          <w:szCs w:val="22"/>
        </w:rPr>
        <w:t xml:space="preserve">DELWP is satisfied that the proposed boundary meets the boundary change criteria </w:t>
      </w:r>
      <w:r w:rsidR="002D48A8">
        <w:rPr>
          <w:rFonts w:ascii="Calibri" w:hAnsi="Calibri" w:cs="Calibri"/>
          <w:color w:val="000000" w:themeColor="text1"/>
          <w:sz w:val="22"/>
          <w:szCs w:val="22"/>
        </w:rPr>
        <w:t xml:space="preserve">for </w:t>
      </w:r>
      <w:r>
        <w:rPr>
          <w:rFonts w:ascii="Calibri" w:hAnsi="Calibri" w:cs="Calibri"/>
          <w:color w:val="000000" w:themeColor="text1"/>
          <w:sz w:val="22"/>
          <w:szCs w:val="22"/>
        </w:rPr>
        <w:t>Growling</w:t>
      </w:r>
      <w:r w:rsidR="006508A7">
        <w:rPr>
          <w:rFonts w:ascii="Calibri" w:hAnsi="Calibri" w:cs="Calibri"/>
          <w:color w:val="000000" w:themeColor="text1"/>
          <w:sz w:val="22"/>
          <w:szCs w:val="22"/>
        </w:rPr>
        <w:t xml:space="preserve"> </w:t>
      </w:r>
      <w:r>
        <w:rPr>
          <w:rFonts w:ascii="Calibri" w:hAnsi="Calibri" w:cs="Calibri"/>
          <w:color w:val="000000" w:themeColor="text1"/>
          <w:sz w:val="22"/>
          <w:szCs w:val="22"/>
        </w:rPr>
        <w:t>Grass</w:t>
      </w:r>
      <w:r w:rsidR="006508A7">
        <w:rPr>
          <w:rFonts w:ascii="Calibri" w:hAnsi="Calibri" w:cs="Calibri"/>
          <w:color w:val="000000" w:themeColor="text1"/>
          <w:sz w:val="22"/>
          <w:szCs w:val="22"/>
        </w:rPr>
        <w:t xml:space="preserve"> Frog conservation areas. As the proposed </w:t>
      </w:r>
      <w:r>
        <w:rPr>
          <w:rFonts w:ascii="Calibri" w:hAnsi="Calibri" w:cs="Calibri"/>
          <w:color w:val="000000" w:themeColor="text1"/>
          <w:sz w:val="22"/>
          <w:szCs w:val="22"/>
        </w:rPr>
        <w:t>change</w:t>
      </w:r>
      <w:r w:rsidR="006508A7">
        <w:rPr>
          <w:rFonts w:ascii="Calibri" w:hAnsi="Calibri" w:cs="Calibri"/>
          <w:color w:val="000000" w:themeColor="text1"/>
          <w:sz w:val="22"/>
          <w:szCs w:val="22"/>
        </w:rPr>
        <w:t xml:space="preserve"> results in </w:t>
      </w:r>
      <w:r w:rsidR="004C0F82">
        <w:rPr>
          <w:rFonts w:ascii="Calibri" w:hAnsi="Calibri" w:cs="Calibri"/>
          <w:color w:val="000000" w:themeColor="text1"/>
          <w:sz w:val="22"/>
          <w:szCs w:val="22"/>
        </w:rPr>
        <w:t xml:space="preserve">a net loss of conservation area, </w:t>
      </w:r>
      <w:r w:rsidR="004C0F82">
        <w:rPr>
          <w:rFonts w:ascii="Calibri" w:hAnsi="Calibri" w:cs="Calibri"/>
          <w:color w:val="000000" w:themeColor="text1"/>
          <w:sz w:val="22"/>
          <w:szCs w:val="22"/>
        </w:rPr>
        <w:t>approval was sought and granted by the Commonwealth Minister.</w:t>
      </w:r>
    </w:p>
    <w:p w:rsidR="009759EA" w:rsidRDefault="009759EA" w:rsidP="009759EA">
      <w:pPr>
        <w:pStyle w:val="HA"/>
        <w:spacing w:after="0"/>
        <w:rPr>
          <w:rFonts w:eastAsia="Calibri"/>
          <w:b/>
          <w:color w:val="auto"/>
          <w:sz w:val="24"/>
        </w:rPr>
      </w:pPr>
    </w:p>
    <w:p w:rsidR="009759EA" w:rsidRDefault="009759EA" w:rsidP="009759EA">
      <w:pPr>
        <w:pStyle w:val="HA"/>
        <w:spacing w:after="0"/>
        <w:rPr>
          <w:rFonts w:eastAsia="Calibri"/>
          <w:b/>
          <w:color w:val="auto"/>
          <w:sz w:val="24"/>
        </w:rPr>
      </w:pPr>
      <w:r>
        <w:rPr>
          <w:rFonts w:eastAsia="Calibri"/>
          <w:b/>
          <w:color w:val="auto"/>
          <w:sz w:val="24"/>
        </w:rPr>
        <w:t>Bac</w:t>
      </w:r>
      <w:r w:rsidRPr="000D643A">
        <w:rPr>
          <w:rFonts w:eastAsia="Calibri"/>
          <w:b/>
          <w:color w:val="auto"/>
          <w:sz w:val="24"/>
        </w:rPr>
        <w:t xml:space="preserve">kground Information and relevant commonwealth approvals </w:t>
      </w:r>
    </w:p>
    <w:p w:rsidR="009759EA" w:rsidRPr="000D643A" w:rsidRDefault="009759EA" w:rsidP="009759EA">
      <w:pPr>
        <w:pStyle w:val="Body"/>
        <w:rPr>
          <w:rFonts w:eastAsia="Calibri"/>
          <w:lang w:val="en-US"/>
        </w:rPr>
      </w:pPr>
    </w:p>
    <w:p w:rsidR="009759EA" w:rsidRPr="000D643A" w:rsidRDefault="009759EA" w:rsidP="009759EA">
      <w:pPr>
        <w:pStyle w:val="Body"/>
        <w:rPr>
          <w:rFonts w:eastAsia="Calibri"/>
          <w:sz w:val="18"/>
          <w:szCs w:val="18"/>
          <w:lang w:val="en-US"/>
        </w:rPr>
      </w:pPr>
      <w:r w:rsidRPr="000D643A">
        <w:rPr>
          <w:rFonts w:eastAsia="Calibri"/>
          <w:b/>
          <w:sz w:val="18"/>
          <w:szCs w:val="18"/>
          <w:lang w:val="en-US"/>
        </w:rPr>
        <w:t>Table 1</w:t>
      </w:r>
      <w:r w:rsidRPr="000D643A">
        <w:rPr>
          <w:rFonts w:eastAsia="Calibri"/>
          <w:sz w:val="18"/>
          <w:szCs w:val="18"/>
          <w:lang w:val="en-US"/>
        </w:rPr>
        <w:t xml:space="preserve"> provides information on the conservation area</w:t>
      </w:r>
    </w:p>
    <w:tbl>
      <w:tblPr>
        <w:tblStyle w:val="MediumShading1-Accent5"/>
        <w:tblW w:w="10125" w:type="dxa"/>
        <w:tblInd w:w="0" w:type="dxa"/>
        <w:tblLayout w:type="fixed"/>
        <w:tblLook w:val="04A0" w:firstRow="1" w:lastRow="0" w:firstColumn="1" w:lastColumn="0" w:noHBand="0" w:noVBand="1"/>
      </w:tblPr>
      <w:tblGrid>
        <w:gridCol w:w="3726"/>
        <w:gridCol w:w="6399"/>
      </w:tblGrid>
      <w:tr w:rsidR="009759EA" w:rsidRPr="007B20F0" w:rsidTr="009861E4">
        <w:trPr>
          <w:cnfStyle w:val="100000000000" w:firstRow="1" w:lastRow="0" w:firstColumn="0" w:lastColumn="0" w:oddVBand="0" w:evenVBand="0" w:oddHBand="0"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3726" w:type="dxa"/>
            <w:hideMark/>
          </w:tcPr>
          <w:p w:rsidR="009759EA" w:rsidRPr="007B20F0" w:rsidRDefault="009759EA" w:rsidP="009861E4">
            <w:pPr>
              <w:pStyle w:val="ReplyLet"/>
              <w:jc w:val="left"/>
              <w:rPr>
                <w:rFonts w:cs="Calibri"/>
                <w:b w:val="0"/>
                <w:color w:val="000000" w:themeColor="text1"/>
                <w:sz w:val="22"/>
                <w:szCs w:val="22"/>
              </w:rPr>
            </w:pPr>
            <w:r w:rsidRPr="007B20F0">
              <w:rPr>
                <w:sz w:val="22"/>
                <w:szCs w:val="22"/>
              </w:rPr>
              <w:t>Key Information</w:t>
            </w:r>
          </w:p>
        </w:tc>
        <w:tc>
          <w:tcPr>
            <w:tcW w:w="6399" w:type="dxa"/>
          </w:tcPr>
          <w:p w:rsidR="009759EA" w:rsidRPr="007B20F0" w:rsidRDefault="009759EA" w:rsidP="009861E4">
            <w:pPr>
              <w:pStyle w:val="ReplyLet"/>
              <w:cnfStyle w:val="100000000000" w:firstRow="1" w:lastRow="0" w:firstColumn="0" w:lastColumn="0" w:oddVBand="0" w:evenVBand="0" w:oddHBand="0" w:evenHBand="0" w:firstRowFirstColumn="0" w:firstRowLastColumn="0" w:lastRowFirstColumn="0" w:lastRowLastColumn="0"/>
              <w:rPr>
                <w:rFonts w:cs="Calibri"/>
                <w:color w:val="000000" w:themeColor="text1"/>
                <w:sz w:val="22"/>
                <w:szCs w:val="22"/>
              </w:rPr>
            </w:pPr>
          </w:p>
        </w:tc>
      </w:tr>
      <w:tr w:rsidR="009759EA" w:rsidRPr="007B20F0" w:rsidTr="009861E4">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Conservation area name and number</w:t>
            </w:r>
          </w:p>
        </w:tc>
        <w:tc>
          <w:tcPr>
            <w:tcW w:w="6399" w:type="dxa"/>
            <w:tcBorders>
              <w:top w:val="single" w:sz="8" w:space="0" w:color="78C0D4" w:themeColor="accent5" w:themeTint="BF"/>
              <w:bottom w:val="single" w:sz="8" w:space="0" w:color="78C0D4" w:themeColor="accent5" w:themeTint="BF"/>
              <w:right w:val="nil"/>
            </w:tcBorders>
            <w:hideMark/>
          </w:tcPr>
          <w:p w:rsidR="009759EA" w:rsidRPr="007B20F0" w:rsidRDefault="001D0CB9"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7B20F0">
              <w:rPr>
                <w:rFonts w:ascii="Calibri" w:hAnsi="Calibri" w:cs="Calibri"/>
                <w:sz w:val="22"/>
                <w:szCs w:val="22"/>
              </w:rPr>
              <w:t>CA15 Western Growth Corridor: Growling Grass Frog corridors (north)</w:t>
            </w:r>
          </w:p>
        </w:tc>
      </w:tr>
      <w:tr w:rsidR="009759EA" w:rsidRPr="007B20F0" w:rsidTr="009861E4">
        <w:trPr>
          <w:cnfStyle w:val="000000010000" w:firstRow="0" w:lastRow="0" w:firstColumn="0" w:lastColumn="0" w:oddVBand="0" w:evenVBand="0" w:oddHBand="0" w:evenHBand="1"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Type of conservation area</w:t>
            </w:r>
          </w:p>
        </w:tc>
        <w:tc>
          <w:tcPr>
            <w:tcW w:w="6399" w:type="dxa"/>
            <w:tcBorders>
              <w:top w:val="single" w:sz="8" w:space="0" w:color="78C0D4" w:themeColor="accent5" w:themeTint="BF"/>
              <w:bottom w:val="single" w:sz="8" w:space="0" w:color="78C0D4" w:themeColor="accent5" w:themeTint="BF"/>
              <w:right w:val="nil"/>
            </w:tcBorders>
          </w:tcPr>
          <w:p w:rsidR="009759EA" w:rsidRPr="007B20F0" w:rsidRDefault="001D0CB9" w:rsidP="001D0CB9">
            <w:pPr>
              <w:tabs>
                <w:tab w:val="left" w:pos="3402"/>
              </w:tabs>
              <w:spacing w:after="100" w:afterAutospacing="1" w:line="120" w:lineRule="atLeast"/>
              <w:cnfStyle w:val="000000010000" w:firstRow="0" w:lastRow="0" w:firstColumn="0" w:lastColumn="0" w:oddVBand="0" w:evenVBand="0" w:oddHBand="0" w:evenHBand="1" w:firstRowFirstColumn="0" w:firstRowLastColumn="0" w:lastRowFirstColumn="0" w:lastRowLastColumn="0"/>
              <w:rPr>
                <w:rFonts w:cs="Calibri"/>
                <w:sz w:val="22"/>
                <w:szCs w:val="22"/>
              </w:rPr>
            </w:pPr>
            <w:r w:rsidRPr="007B20F0">
              <w:rPr>
                <w:rFonts w:cs="Calibri"/>
                <w:sz w:val="22"/>
                <w:szCs w:val="22"/>
              </w:rPr>
              <w:t xml:space="preserve">Growling Grass Frog conservation, floodplain and open space </w:t>
            </w:r>
          </w:p>
        </w:tc>
      </w:tr>
      <w:tr w:rsidR="009759EA" w:rsidRPr="007B20F0" w:rsidTr="009861E4">
        <w:trPr>
          <w:cnfStyle w:val="000000100000" w:firstRow="0" w:lastRow="0" w:firstColumn="0" w:lastColumn="0" w:oddVBand="0" w:evenVBand="0" w:oddHBand="1" w:evenHBand="0" w:firstRowFirstColumn="0" w:firstRowLastColumn="0" w:lastRowFirstColumn="0" w:lastRowLastColumn="0"/>
          <w:trHeight w:val="363"/>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color w:val="000000" w:themeColor="text1"/>
                <w:sz w:val="22"/>
                <w:szCs w:val="22"/>
              </w:rPr>
            </w:pPr>
            <w:r w:rsidRPr="007B20F0">
              <w:rPr>
                <w:rFonts w:ascii="Calibri" w:hAnsi="Calibri" w:cs="Calibri"/>
                <w:color w:val="000000" w:themeColor="text1"/>
                <w:sz w:val="22"/>
                <w:szCs w:val="22"/>
              </w:rPr>
              <w:t xml:space="preserve">Precinct name </w:t>
            </w:r>
          </w:p>
        </w:tc>
        <w:tc>
          <w:tcPr>
            <w:tcW w:w="6399" w:type="dxa"/>
            <w:tcBorders>
              <w:top w:val="single" w:sz="8" w:space="0" w:color="78C0D4" w:themeColor="accent5" w:themeTint="BF"/>
              <w:bottom w:val="single" w:sz="8" w:space="0" w:color="78C0D4" w:themeColor="accent5" w:themeTint="BF"/>
              <w:right w:val="nil"/>
            </w:tcBorders>
          </w:tcPr>
          <w:p w:rsidR="009759EA" w:rsidRPr="007B20F0" w:rsidRDefault="001D0CB9"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7B20F0">
              <w:rPr>
                <w:rFonts w:ascii="Calibri" w:hAnsi="Calibri" w:cs="Calibri"/>
                <w:sz w:val="22"/>
                <w:szCs w:val="22"/>
              </w:rPr>
              <w:t>Rockbank North</w:t>
            </w:r>
          </w:p>
        </w:tc>
      </w:tr>
      <w:tr w:rsidR="009759EA" w:rsidRPr="007B20F0" w:rsidTr="009861E4">
        <w:trPr>
          <w:cnfStyle w:val="000000010000" w:firstRow="0" w:lastRow="0" w:firstColumn="0" w:lastColumn="0" w:oddVBand="0" w:evenVBand="0" w:oddHBand="0" w:evenHBand="1"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Council area</w:t>
            </w:r>
          </w:p>
        </w:tc>
        <w:tc>
          <w:tcPr>
            <w:tcW w:w="6399" w:type="dxa"/>
            <w:tcBorders>
              <w:top w:val="single" w:sz="8" w:space="0" w:color="78C0D4" w:themeColor="accent5" w:themeTint="BF"/>
              <w:bottom w:val="single" w:sz="8" w:space="0" w:color="78C0D4" w:themeColor="accent5" w:themeTint="BF"/>
              <w:right w:val="nil"/>
            </w:tcBorders>
          </w:tcPr>
          <w:p w:rsidR="009759EA" w:rsidRPr="007B20F0" w:rsidRDefault="009759EA" w:rsidP="009861E4">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7B20F0">
              <w:rPr>
                <w:rFonts w:ascii="Calibri" w:hAnsi="Calibri" w:cs="Calibri"/>
                <w:color w:val="000000" w:themeColor="text1"/>
                <w:sz w:val="22"/>
                <w:szCs w:val="22"/>
              </w:rPr>
              <w:t>Melton City Council</w:t>
            </w:r>
          </w:p>
        </w:tc>
      </w:tr>
      <w:tr w:rsidR="009759EA" w:rsidRPr="007B20F0" w:rsidTr="009861E4">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Applicant</w:t>
            </w:r>
          </w:p>
        </w:tc>
        <w:tc>
          <w:tcPr>
            <w:tcW w:w="6399" w:type="dxa"/>
            <w:tcBorders>
              <w:top w:val="single" w:sz="8" w:space="0" w:color="78C0D4" w:themeColor="accent5" w:themeTint="BF"/>
              <w:bottom w:val="single" w:sz="8" w:space="0" w:color="78C0D4" w:themeColor="accent5" w:themeTint="BF"/>
              <w:right w:val="nil"/>
            </w:tcBorders>
          </w:tcPr>
          <w:p w:rsidR="009759EA" w:rsidRPr="007B20F0" w:rsidRDefault="001D0CB9"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7B20F0">
              <w:rPr>
                <w:rFonts w:ascii="Calibri" w:hAnsi="Calibri" w:cs="Calibri"/>
                <w:sz w:val="22"/>
                <w:szCs w:val="22"/>
              </w:rPr>
              <w:t>MPA via the Rockbank North Precinct Structure Plan (PSP)</w:t>
            </w:r>
          </w:p>
        </w:tc>
      </w:tr>
      <w:tr w:rsidR="009759EA" w:rsidRPr="007B20F0" w:rsidTr="009861E4">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Landowner/land manager</w:t>
            </w:r>
          </w:p>
        </w:tc>
        <w:tc>
          <w:tcPr>
            <w:tcW w:w="6399" w:type="dxa"/>
            <w:tcBorders>
              <w:top w:val="single" w:sz="8" w:space="0" w:color="78C0D4" w:themeColor="accent5" w:themeTint="BF"/>
              <w:bottom w:val="single" w:sz="8" w:space="0" w:color="78C0D4" w:themeColor="accent5" w:themeTint="BF"/>
              <w:right w:val="nil"/>
            </w:tcBorders>
          </w:tcPr>
          <w:p w:rsidR="009759EA" w:rsidRPr="007B20F0" w:rsidRDefault="001D0CB9" w:rsidP="009861E4">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7B20F0">
              <w:rPr>
                <w:rFonts w:ascii="Calibri" w:hAnsi="Calibri" w:cs="Calibri"/>
                <w:color w:val="000000" w:themeColor="text1"/>
                <w:sz w:val="22"/>
                <w:szCs w:val="22"/>
              </w:rPr>
              <w:t>Private landholder</w:t>
            </w:r>
          </w:p>
        </w:tc>
      </w:tr>
      <w:tr w:rsidR="009759EA" w:rsidRPr="007B20F0" w:rsidTr="001D0CB9">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shd w:val="clear" w:color="auto" w:fill="B6DDE8" w:themeFill="accent5" w:themeFillTint="66"/>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Property addresses</w:t>
            </w:r>
          </w:p>
        </w:tc>
        <w:tc>
          <w:tcPr>
            <w:tcW w:w="6399" w:type="dxa"/>
            <w:tcBorders>
              <w:top w:val="single" w:sz="8" w:space="0" w:color="78C0D4" w:themeColor="accent5" w:themeTint="BF"/>
              <w:bottom w:val="single" w:sz="8" w:space="0" w:color="78C0D4" w:themeColor="accent5" w:themeTint="BF"/>
              <w:right w:val="nil"/>
            </w:tcBorders>
            <w:shd w:val="clear" w:color="auto" w:fill="B6DDE8" w:themeFill="accent5" w:themeFillTint="66"/>
            <w:hideMark/>
          </w:tcPr>
          <w:p w:rsidR="009759EA" w:rsidRPr="007B20F0" w:rsidRDefault="001D0CB9" w:rsidP="002D48A8">
            <w:pPr>
              <w:pStyle w:val="ReplyLet"/>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2D48A8">
              <w:rPr>
                <w:rFonts w:ascii="Calibri" w:hAnsi="Calibri" w:cs="Helvetica"/>
                <w:color w:val="222222"/>
                <w:sz w:val="22"/>
                <w:szCs w:val="22"/>
                <w:shd w:val="clear" w:color="auto" w:fill="B6DDE8" w:themeFill="accent5" w:themeFillTint="66"/>
              </w:rPr>
              <w:t>1902-1990 Western Highway Rockbank 3335</w:t>
            </w:r>
          </w:p>
        </w:tc>
      </w:tr>
      <w:tr w:rsidR="009759EA" w:rsidRPr="007B20F0" w:rsidTr="009861E4">
        <w:trPr>
          <w:cnfStyle w:val="000000010000" w:firstRow="0" w:lastRow="0" w:firstColumn="0" w:lastColumn="0" w:oddVBand="0" w:evenVBand="0" w:oddHBand="0" w:evenHBand="1"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Were new surveys undertaken to inform the proposal?</w:t>
            </w:r>
          </w:p>
        </w:tc>
        <w:tc>
          <w:tcPr>
            <w:tcW w:w="6399" w:type="dxa"/>
            <w:tcBorders>
              <w:top w:val="single" w:sz="8" w:space="0" w:color="78C0D4" w:themeColor="accent5" w:themeTint="BF"/>
              <w:bottom w:val="single" w:sz="8" w:space="0" w:color="78C0D4" w:themeColor="accent5" w:themeTint="BF"/>
              <w:right w:val="nil"/>
            </w:tcBorders>
            <w:hideMark/>
          </w:tcPr>
          <w:p w:rsidR="009759EA" w:rsidRPr="007B20F0" w:rsidRDefault="001D0CB9" w:rsidP="009861E4">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7B20F0">
              <w:rPr>
                <w:rFonts w:ascii="Calibri" w:hAnsi="Calibri" w:cs="Calibri"/>
                <w:color w:val="000000" w:themeColor="text1"/>
                <w:sz w:val="22"/>
                <w:szCs w:val="22"/>
              </w:rPr>
              <w:t>N/a</w:t>
            </w:r>
          </w:p>
        </w:tc>
      </w:tr>
    </w:tbl>
    <w:p w:rsidR="009759EA" w:rsidRDefault="009759EA" w:rsidP="009759EA">
      <w:pPr>
        <w:pStyle w:val="Pullout"/>
        <w:shd w:val="clear" w:color="auto" w:fill="FFFFFF" w:themeFill="background1"/>
      </w:pPr>
    </w:p>
    <w:p w:rsidR="009759EA" w:rsidRPr="00865F32" w:rsidRDefault="009759EA" w:rsidP="009759EA">
      <w:pPr>
        <w:pStyle w:val="Pullout"/>
        <w:shd w:val="clear" w:color="auto" w:fill="FFFFFF" w:themeFill="background1"/>
        <w:rPr>
          <w:rFonts w:eastAsia="Calibri"/>
          <w:color w:val="auto"/>
          <w:sz w:val="22"/>
          <w:lang w:val="en-US"/>
        </w:rPr>
      </w:pPr>
      <w:r w:rsidRPr="00683755">
        <w:rPr>
          <w:rFonts w:eastAsia="Calibri"/>
          <w:color w:val="auto"/>
          <w:sz w:val="22"/>
          <w:lang w:val="en-US"/>
        </w:rPr>
        <w:t>An</w:t>
      </w:r>
      <w:r>
        <w:rPr>
          <w:rFonts w:eastAsia="Calibri"/>
          <w:color w:val="auto"/>
          <w:sz w:val="22"/>
          <w:lang w:val="en-US"/>
        </w:rPr>
        <w:t>y</w:t>
      </w:r>
      <w:r w:rsidRPr="00683755">
        <w:rPr>
          <w:rFonts w:eastAsia="Calibri"/>
          <w:color w:val="auto"/>
          <w:sz w:val="22"/>
          <w:lang w:val="en-US"/>
        </w:rPr>
        <w:t xml:space="preserve"> changes to the boundary of conservation area </w:t>
      </w:r>
      <w:r w:rsidR="001D0CB9">
        <w:rPr>
          <w:rFonts w:eastAsia="Calibri"/>
          <w:color w:val="auto"/>
          <w:sz w:val="22"/>
          <w:lang w:val="en-US"/>
        </w:rPr>
        <w:t xml:space="preserve">15 that result in a net loss of area </w:t>
      </w:r>
      <w:r w:rsidRPr="00683755">
        <w:rPr>
          <w:rFonts w:eastAsia="Calibri"/>
          <w:color w:val="auto"/>
          <w:sz w:val="22"/>
          <w:lang w:val="en-US"/>
        </w:rPr>
        <w:t>require the approval of the Commonwealth Minister. The approval conditions relating to this condition are identified in the table below.</w:t>
      </w:r>
      <w:r w:rsidRPr="000D643A">
        <w:rPr>
          <w:rFonts w:eastAsia="Calibri"/>
          <w:color w:val="auto"/>
          <w:sz w:val="22"/>
          <w:lang w:val="en-US"/>
        </w:rPr>
        <w:t xml:space="preserve"> </w:t>
      </w:r>
    </w:p>
    <w:p w:rsidR="009759EA" w:rsidRPr="000D643A" w:rsidRDefault="009759EA" w:rsidP="009759EA">
      <w:pPr>
        <w:pStyle w:val="Body"/>
        <w:rPr>
          <w:rFonts w:eastAsia="Calibri"/>
          <w:sz w:val="18"/>
          <w:szCs w:val="18"/>
          <w:lang w:val="en-US"/>
        </w:rPr>
      </w:pPr>
      <w:r w:rsidRPr="000D643A">
        <w:rPr>
          <w:rFonts w:eastAsia="Calibri"/>
          <w:b/>
          <w:sz w:val="18"/>
          <w:szCs w:val="18"/>
          <w:lang w:val="en-US"/>
        </w:rPr>
        <w:t xml:space="preserve">Table </w:t>
      </w:r>
      <w:r>
        <w:rPr>
          <w:rFonts w:eastAsia="Calibri"/>
          <w:b/>
          <w:sz w:val="18"/>
          <w:szCs w:val="18"/>
          <w:lang w:val="en-US"/>
        </w:rPr>
        <w:t>2</w:t>
      </w:r>
      <w:r w:rsidRPr="000D643A">
        <w:rPr>
          <w:rFonts w:eastAsia="Calibri"/>
          <w:sz w:val="18"/>
          <w:szCs w:val="18"/>
          <w:lang w:val="en-US"/>
        </w:rPr>
        <w:t xml:space="preserve"> provides </w:t>
      </w:r>
      <w:r>
        <w:rPr>
          <w:rFonts w:eastAsia="Calibri"/>
          <w:sz w:val="18"/>
          <w:szCs w:val="18"/>
          <w:lang w:val="en-US"/>
        </w:rPr>
        <w:t xml:space="preserve">information on the commonwealth approval conditions for changes to conservation area boundaries </w:t>
      </w:r>
    </w:p>
    <w:tbl>
      <w:tblPr>
        <w:tblStyle w:val="MediumShading1-Accent5"/>
        <w:tblW w:w="0" w:type="auto"/>
        <w:tblInd w:w="0" w:type="dxa"/>
        <w:tblLayout w:type="fixed"/>
        <w:tblLook w:val="04A0" w:firstRow="1" w:lastRow="0" w:firstColumn="1" w:lastColumn="0" w:noHBand="0" w:noVBand="1"/>
      </w:tblPr>
      <w:tblGrid>
        <w:gridCol w:w="3379"/>
        <w:gridCol w:w="6759"/>
      </w:tblGrid>
      <w:tr w:rsidR="009759EA" w:rsidRPr="007B20F0" w:rsidTr="009861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8" w:type="dxa"/>
            <w:gridSpan w:val="2"/>
            <w:hideMark/>
          </w:tcPr>
          <w:p w:rsidR="009759EA" w:rsidRPr="007B20F0" w:rsidRDefault="009759EA" w:rsidP="009861E4">
            <w:pPr>
              <w:pStyle w:val="ReplyLet"/>
              <w:rPr>
                <w:sz w:val="22"/>
                <w:szCs w:val="22"/>
              </w:rPr>
            </w:pPr>
            <w:r w:rsidRPr="007B20F0">
              <w:rPr>
                <w:sz w:val="22"/>
                <w:szCs w:val="22"/>
              </w:rPr>
              <w:t>MSA Commonwealth approval</w:t>
            </w:r>
          </w:p>
        </w:tc>
      </w:tr>
      <w:tr w:rsidR="009759EA" w:rsidRPr="007B20F0" w:rsidTr="009861E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Relevant approval</w:t>
            </w:r>
          </w:p>
        </w:tc>
        <w:tc>
          <w:tcPr>
            <w:tcW w:w="6759" w:type="dxa"/>
            <w:tcBorders>
              <w:top w:val="single" w:sz="8" w:space="0" w:color="78C0D4" w:themeColor="accent5" w:themeTint="BF"/>
              <w:bottom w:val="single" w:sz="8" w:space="0" w:color="78C0D4" w:themeColor="accent5" w:themeTint="BF"/>
              <w:right w:val="nil"/>
            </w:tcBorders>
          </w:tcPr>
          <w:p w:rsidR="009759EA" w:rsidRPr="007B20F0" w:rsidRDefault="009759EA"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7B20F0">
              <w:rPr>
                <w:rFonts w:ascii="Calibri" w:hAnsi="Calibri" w:cs="Calibri"/>
                <w:color w:val="000000" w:themeColor="text1"/>
                <w:sz w:val="22"/>
                <w:szCs w:val="22"/>
              </w:rPr>
              <w:t>September 2013 (2010 Urban Growth Boundary expansion of the Western Growth corridor)</w:t>
            </w:r>
          </w:p>
          <w:p w:rsidR="009759EA" w:rsidRPr="007B20F0" w:rsidRDefault="009759EA"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p>
        </w:tc>
      </w:tr>
      <w:tr w:rsidR="009759EA" w:rsidRPr="007B20F0" w:rsidTr="009861E4">
        <w:trPr>
          <w:cnfStyle w:val="000000010000" w:firstRow="0" w:lastRow="0" w:firstColumn="0" w:lastColumn="0" w:oddVBand="0" w:evenVBand="0" w:oddHBand="0" w:evenHBand="1" w:firstRowFirstColumn="0" w:firstRowLastColumn="0" w:lastRowFirstColumn="0" w:lastRowLastColumn="0"/>
          <w:trHeight w:val="479"/>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Relevant approval condition</w:t>
            </w:r>
          </w:p>
        </w:tc>
        <w:tc>
          <w:tcPr>
            <w:tcW w:w="6759" w:type="dxa"/>
            <w:tcBorders>
              <w:top w:val="single" w:sz="8" w:space="0" w:color="78C0D4" w:themeColor="accent5" w:themeTint="BF"/>
              <w:bottom w:val="single" w:sz="8" w:space="0" w:color="78C0D4" w:themeColor="accent5" w:themeTint="BF"/>
              <w:right w:val="nil"/>
            </w:tcBorders>
          </w:tcPr>
          <w:p w:rsidR="009759EA" w:rsidRPr="007B20F0" w:rsidRDefault="009759EA" w:rsidP="001D0CB9">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7B20F0">
              <w:rPr>
                <w:rFonts w:ascii="Calibri" w:hAnsi="Calibri" w:cs="Calibri"/>
                <w:color w:val="000000" w:themeColor="text1"/>
                <w:sz w:val="22"/>
                <w:szCs w:val="22"/>
              </w:rPr>
              <w:t xml:space="preserve">Condition </w:t>
            </w:r>
            <w:r w:rsidR="001D0CB9" w:rsidRPr="007B20F0">
              <w:rPr>
                <w:rFonts w:ascii="Calibri" w:hAnsi="Calibri" w:cs="Calibri"/>
                <w:color w:val="000000" w:themeColor="text1"/>
                <w:sz w:val="22"/>
                <w:szCs w:val="22"/>
              </w:rPr>
              <w:t>3</w:t>
            </w:r>
          </w:p>
        </w:tc>
      </w:tr>
      <w:tr w:rsidR="009759EA" w:rsidRPr="007B20F0" w:rsidTr="009861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Is approval required?</w:t>
            </w:r>
          </w:p>
        </w:tc>
        <w:tc>
          <w:tcPr>
            <w:tcW w:w="6759" w:type="dxa"/>
            <w:tcBorders>
              <w:top w:val="single" w:sz="8" w:space="0" w:color="78C0D4" w:themeColor="accent5" w:themeTint="BF"/>
              <w:bottom w:val="single" w:sz="8" w:space="0" w:color="78C0D4" w:themeColor="accent5" w:themeTint="BF"/>
              <w:right w:val="nil"/>
            </w:tcBorders>
          </w:tcPr>
          <w:p w:rsidR="009759EA" w:rsidRPr="007B20F0" w:rsidRDefault="009759EA"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7B20F0">
              <w:rPr>
                <w:rFonts w:ascii="Calibri" w:hAnsi="Calibri" w:cs="Calibri"/>
                <w:color w:val="000000" w:themeColor="text1"/>
                <w:sz w:val="22"/>
                <w:szCs w:val="22"/>
              </w:rPr>
              <w:t>Yes</w:t>
            </w:r>
          </w:p>
        </w:tc>
      </w:tr>
      <w:tr w:rsidR="009759EA" w:rsidRPr="007B20F0" w:rsidTr="009861E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9759EA" w:rsidRPr="007B20F0" w:rsidRDefault="009759EA" w:rsidP="009861E4">
            <w:pPr>
              <w:pStyle w:val="ReplyLet"/>
              <w:jc w:val="left"/>
              <w:rPr>
                <w:rFonts w:ascii="Calibri" w:hAnsi="Calibri" w:cs="Calibri"/>
                <w:b w:val="0"/>
                <w:color w:val="000000" w:themeColor="text1"/>
                <w:sz w:val="22"/>
                <w:szCs w:val="22"/>
              </w:rPr>
            </w:pPr>
            <w:r w:rsidRPr="007B20F0">
              <w:rPr>
                <w:rFonts w:ascii="Calibri" w:hAnsi="Calibri" w:cs="Calibri"/>
                <w:color w:val="000000" w:themeColor="text1"/>
                <w:sz w:val="22"/>
                <w:szCs w:val="22"/>
              </w:rPr>
              <w:t>Reason approval is required</w:t>
            </w:r>
          </w:p>
        </w:tc>
        <w:tc>
          <w:tcPr>
            <w:tcW w:w="6759" w:type="dxa"/>
            <w:tcBorders>
              <w:top w:val="single" w:sz="8" w:space="0" w:color="78C0D4" w:themeColor="accent5" w:themeTint="BF"/>
              <w:bottom w:val="single" w:sz="8" w:space="0" w:color="78C0D4" w:themeColor="accent5" w:themeTint="BF"/>
              <w:right w:val="nil"/>
            </w:tcBorders>
            <w:hideMark/>
          </w:tcPr>
          <w:p w:rsidR="009759EA" w:rsidRPr="007B20F0" w:rsidRDefault="009759EA" w:rsidP="001D0CB9">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7B20F0">
              <w:rPr>
                <w:rFonts w:ascii="Calibri" w:hAnsi="Calibri" w:cs="Calibri"/>
                <w:color w:val="000000" w:themeColor="text1"/>
                <w:sz w:val="22"/>
                <w:szCs w:val="22"/>
              </w:rPr>
              <w:t xml:space="preserve">Condition </w:t>
            </w:r>
            <w:r w:rsidR="001D0CB9" w:rsidRPr="007B20F0">
              <w:rPr>
                <w:rFonts w:ascii="Calibri" w:hAnsi="Calibri" w:cs="Calibri"/>
                <w:color w:val="000000" w:themeColor="text1"/>
                <w:sz w:val="22"/>
                <w:szCs w:val="22"/>
              </w:rPr>
              <w:t>3</w:t>
            </w:r>
            <w:r w:rsidRPr="007B20F0">
              <w:rPr>
                <w:rFonts w:ascii="Calibri" w:hAnsi="Calibri" w:cs="Calibri"/>
                <w:color w:val="000000" w:themeColor="text1"/>
                <w:sz w:val="22"/>
                <w:szCs w:val="22"/>
              </w:rPr>
              <w:t xml:space="preserve"> requires Commonwealth Ministerial approval </w:t>
            </w:r>
            <w:r w:rsidR="001D0CB9" w:rsidRPr="007B20F0">
              <w:rPr>
                <w:rFonts w:ascii="Calibri" w:hAnsi="Calibri" w:cs="Calibri"/>
                <w:color w:val="000000" w:themeColor="text1"/>
                <w:sz w:val="22"/>
                <w:szCs w:val="22"/>
              </w:rPr>
              <w:t xml:space="preserve">of </w:t>
            </w:r>
            <w:r w:rsidRPr="007B20F0">
              <w:rPr>
                <w:rFonts w:ascii="Calibri" w:hAnsi="Calibri" w:cs="Calibri"/>
                <w:color w:val="000000" w:themeColor="text1"/>
                <w:sz w:val="22"/>
                <w:szCs w:val="22"/>
              </w:rPr>
              <w:t>boundary changes</w:t>
            </w:r>
            <w:r w:rsidR="001D0CB9" w:rsidRPr="007B20F0">
              <w:rPr>
                <w:rFonts w:ascii="Calibri" w:hAnsi="Calibri" w:cs="Calibri"/>
                <w:color w:val="000000" w:themeColor="text1"/>
                <w:sz w:val="22"/>
                <w:szCs w:val="22"/>
              </w:rPr>
              <w:t xml:space="preserve"> that result in a net loss of area</w:t>
            </w:r>
            <w:r w:rsidRPr="007B20F0">
              <w:rPr>
                <w:rFonts w:ascii="Calibri" w:hAnsi="Calibri" w:cs="Calibri"/>
                <w:color w:val="000000" w:themeColor="text1"/>
                <w:sz w:val="22"/>
                <w:szCs w:val="22"/>
              </w:rPr>
              <w:t xml:space="preserve"> to conservation area </w:t>
            </w:r>
            <w:r w:rsidR="001D0CB9" w:rsidRPr="007B20F0">
              <w:rPr>
                <w:rFonts w:ascii="Calibri" w:hAnsi="Calibri" w:cs="Calibri"/>
                <w:color w:val="000000" w:themeColor="text1"/>
                <w:sz w:val="22"/>
                <w:szCs w:val="22"/>
              </w:rPr>
              <w:t>15</w:t>
            </w:r>
            <w:r w:rsidRPr="007B20F0">
              <w:rPr>
                <w:rFonts w:ascii="Calibri" w:hAnsi="Calibri" w:cs="Calibri"/>
                <w:color w:val="000000" w:themeColor="text1"/>
                <w:sz w:val="22"/>
                <w:szCs w:val="22"/>
              </w:rPr>
              <w:t>.</w:t>
            </w:r>
          </w:p>
        </w:tc>
      </w:tr>
    </w:tbl>
    <w:p w:rsidR="009759EA" w:rsidRDefault="009759EA" w:rsidP="009759EA">
      <w:pPr>
        <w:pStyle w:val="HC"/>
      </w:pPr>
    </w:p>
    <w:p w:rsidR="002D48A8" w:rsidRDefault="002D48A8" w:rsidP="009759EA">
      <w:pPr>
        <w:pStyle w:val="HC"/>
      </w:pPr>
    </w:p>
    <w:p w:rsidR="002D48A8" w:rsidRDefault="002D48A8" w:rsidP="009759EA">
      <w:pPr>
        <w:pStyle w:val="HC"/>
      </w:pPr>
    </w:p>
    <w:p w:rsidR="009759EA" w:rsidRDefault="00D10885" w:rsidP="009759EA">
      <w:pPr>
        <w:pStyle w:val="HC"/>
      </w:pPr>
      <w:r>
        <w:lastRenderedPageBreak/>
        <w:t>Approved</w:t>
      </w:r>
      <w:r w:rsidR="009759EA">
        <w:t xml:space="preserve"> Boundary Changes and Assessment Criteria</w:t>
      </w:r>
    </w:p>
    <w:p w:rsidR="009F1A36" w:rsidRDefault="009759EA" w:rsidP="009759EA">
      <w:pPr>
        <w:spacing w:after="113" w:line="240" w:lineRule="atLeast"/>
        <w:rPr>
          <w:rFonts w:cs="Calibri"/>
          <w:szCs w:val="22"/>
        </w:rPr>
      </w:pPr>
      <w:r w:rsidRPr="00A0788E">
        <w:rPr>
          <w:rFonts w:cs="Calibri"/>
          <w:szCs w:val="22"/>
        </w:rPr>
        <w:t xml:space="preserve">DELWP will consider supporting applications of proposed adjustments to </w:t>
      </w:r>
      <w:r w:rsidR="009F1A36">
        <w:rPr>
          <w:rFonts w:cs="Calibri"/>
          <w:szCs w:val="22"/>
        </w:rPr>
        <w:t xml:space="preserve">Growling Grass Frog corridors where they result in a 85% or greater probability of a better outcome for the species or the adjustment is required to meet particular site specific </w:t>
      </w:r>
      <w:r w:rsidR="004F2B71">
        <w:rPr>
          <w:rFonts w:cs="Calibri"/>
          <w:szCs w:val="22"/>
        </w:rPr>
        <w:t xml:space="preserve">issues outlined in the table below. </w:t>
      </w:r>
    </w:p>
    <w:p w:rsidR="009759EA" w:rsidRPr="00A0788E" w:rsidRDefault="001D0CB9" w:rsidP="004F2B71">
      <w:pPr>
        <w:spacing w:after="113" w:line="240" w:lineRule="atLeast"/>
        <w:rPr>
          <w:rFonts w:cs="Calibri"/>
          <w:szCs w:val="22"/>
        </w:rPr>
      </w:pPr>
      <w:r>
        <w:rPr>
          <w:rFonts w:cs="Calibri"/>
          <w:szCs w:val="22"/>
        </w:rPr>
        <w:t xml:space="preserve">The </w:t>
      </w:r>
      <w:r w:rsidR="00D10885">
        <w:rPr>
          <w:rFonts w:cs="Calibri"/>
          <w:szCs w:val="22"/>
        </w:rPr>
        <w:t>approved</w:t>
      </w:r>
      <w:r>
        <w:rPr>
          <w:rFonts w:cs="Calibri"/>
          <w:szCs w:val="22"/>
        </w:rPr>
        <w:t xml:space="preserve"> boundary change </w:t>
      </w:r>
      <w:r w:rsidR="004F2B71">
        <w:rPr>
          <w:rFonts w:cs="Calibri"/>
          <w:szCs w:val="22"/>
        </w:rPr>
        <w:t>for conservation area 15 addresses errors in the mapping provided in the BCS, and is</w:t>
      </w:r>
      <w:r>
        <w:rPr>
          <w:rFonts w:cs="Calibri"/>
          <w:szCs w:val="22"/>
        </w:rPr>
        <w:t xml:space="preserve"> required to meet </w:t>
      </w:r>
      <w:r w:rsidRPr="001D0CB9">
        <w:rPr>
          <w:rFonts w:cs="Calibri"/>
          <w:szCs w:val="22"/>
        </w:rPr>
        <w:t>urban planning objectives of a precinct structure plan</w:t>
      </w:r>
      <w:r>
        <w:rPr>
          <w:rFonts w:cs="Calibri"/>
          <w:szCs w:val="22"/>
        </w:rPr>
        <w:t>.</w:t>
      </w:r>
    </w:p>
    <w:p w:rsidR="009759EA" w:rsidRPr="0008374C" w:rsidRDefault="009759EA" w:rsidP="009759EA">
      <w:pPr>
        <w:pStyle w:val="Body"/>
        <w:rPr>
          <w:rFonts w:eastAsia="Calibri"/>
          <w:sz w:val="18"/>
          <w:szCs w:val="18"/>
          <w:lang w:val="en-US"/>
        </w:rPr>
      </w:pPr>
      <w:r w:rsidRPr="000D643A">
        <w:rPr>
          <w:rFonts w:eastAsia="Calibri"/>
          <w:b/>
          <w:sz w:val="18"/>
          <w:szCs w:val="18"/>
          <w:lang w:val="en-US"/>
        </w:rPr>
        <w:t xml:space="preserve">Table </w:t>
      </w:r>
      <w:r>
        <w:rPr>
          <w:rFonts w:eastAsia="Calibri"/>
          <w:b/>
          <w:sz w:val="18"/>
          <w:szCs w:val="18"/>
          <w:lang w:val="en-US"/>
        </w:rPr>
        <w:t>3</w:t>
      </w:r>
      <w:r w:rsidRPr="000D643A">
        <w:rPr>
          <w:rFonts w:eastAsia="Calibri"/>
          <w:sz w:val="18"/>
          <w:szCs w:val="18"/>
          <w:lang w:val="en-US"/>
        </w:rPr>
        <w:t xml:space="preserve"> provides </w:t>
      </w:r>
      <w:r>
        <w:rPr>
          <w:rFonts w:eastAsia="Calibri"/>
          <w:sz w:val="18"/>
          <w:szCs w:val="18"/>
          <w:lang w:val="en-US"/>
        </w:rPr>
        <w:t xml:space="preserve">information on how the </w:t>
      </w:r>
      <w:r w:rsidR="00D10885">
        <w:rPr>
          <w:rFonts w:eastAsia="Calibri"/>
          <w:sz w:val="18"/>
          <w:szCs w:val="18"/>
          <w:lang w:val="en-US"/>
        </w:rPr>
        <w:t>approved</w:t>
      </w:r>
      <w:r>
        <w:rPr>
          <w:rFonts w:eastAsia="Calibri"/>
          <w:sz w:val="18"/>
          <w:szCs w:val="18"/>
          <w:lang w:val="en-US"/>
        </w:rPr>
        <w:t xml:space="preserve"> boundary change meets the boundary change criteria </w:t>
      </w:r>
    </w:p>
    <w:tbl>
      <w:tblPr>
        <w:tblStyle w:val="MediumShading1-Accent5"/>
        <w:tblW w:w="9889" w:type="dxa"/>
        <w:tblInd w:w="0" w:type="dxa"/>
        <w:tblLayout w:type="fixed"/>
        <w:tblLook w:val="04A0" w:firstRow="1" w:lastRow="0" w:firstColumn="1" w:lastColumn="0" w:noHBand="0" w:noVBand="1"/>
      </w:tblPr>
      <w:tblGrid>
        <w:gridCol w:w="3794"/>
        <w:gridCol w:w="709"/>
        <w:gridCol w:w="5386"/>
      </w:tblGrid>
      <w:tr w:rsidR="009759EA" w:rsidRPr="00D60DE6" w:rsidTr="009861E4">
        <w:trPr>
          <w:cnfStyle w:val="100000000000" w:firstRow="1" w:lastRow="0" w:firstColumn="0" w:lastColumn="0" w:oddVBand="0" w:evenVBand="0" w:oddHBand="0"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3794" w:type="dxa"/>
            <w:hideMark/>
          </w:tcPr>
          <w:p w:rsidR="009759EA" w:rsidRPr="00D60DE6" w:rsidRDefault="009759EA" w:rsidP="009861E4">
            <w:pPr>
              <w:pStyle w:val="ReplyLet"/>
              <w:jc w:val="left"/>
              <w:rPr>
                <w:rFonts w:cs="Calibri"/>
                <w:b w:val="0"/>
                <w:color w:val="000000" w:themeColor="text1"/>
                <w:sz w:val="22"/>
                <w:szCs w:val="22"/>
              </w:rPr>
            </w:pPr>
            <w:r w:rsidRPr="00D60DE6">
              <w:rPr>
                <w:sz w:val="22"/>
                <w:szCs w:val="22"/>
              </w:rPr>
              <w:t>Boundary Change Criteria</w:t>
            </w:r>
          </w:p>
        </w:tc>
        <w:tc>
          <w:tcPr>
            <w:tcW w:w="6095" w:type="dxa"/>
            <w:gridSpan w:val="2"/>
          </w:tcPr>
          <w:p w:rsidR="009759EA" w:rsidRPr="00D60DE6" w:rsidRDefault="009759EA" w:rsidP="009861E4">
            <w:pPr>
              <w:pStyle w:val="ReplyLet"/>
              <w:cnfStyle w:val="100000000000" w:firstRow="1" w:lastRow="0" w:firstColumn="0" w:lastColumn="0" w:oddVBand="0" w:evenVBand="0" w:oddHBand="0" w:evenHBand="0" w:firstRowFirstColumn="0" w:firstRowLastColumn="0" w:lastRowFirstColumn="0" w:lastRowLastColumn="0"/>
              <w:rPr>
                <w:rFonts w:cs="Calibri"/>
                <w:color w:val="000000" w:themeColor="text1"/>
                <w:sz w:val="22"/>
                <w:szCs w:val="22"/>
              </w:rPr>
            </w:pPr>
          </w:p>
        </w:tc>
      </w:tr>
      <w:tr w:rsidR="009759EA" w:rsidRPr="00D60DE6" w:rsidTr="009861E4">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9889" w:type="dxa"/>
            <w:gridSpan w:val="3"/>
            <w:tcBorders>
              <w:top w:val="single" w:sz="8" w:space="0" w:color="78C0D4" w:themeColor="accent5" w:themeTint="BF"/>
              <w:left w:val="nil"/>
              <w:bottom w:val="single" w:sz="8" w:space="0" w:color="78C0D4" w:themeColor="accent5" w:themeTint="BF"/>
              <w:right w:val="nil"/>
            </w:tcBorders>
            <w:hideMark/>
          </w:tcPr>
          <w:p w:rsidR="009759EA" w:rsidRPr="00D60DE6" w:rsidRDefault="009F1A36" w:rsidP="009861E4">
            <w:pPr>
              <w:pStyle w:val="Body"/>
              <w:rPr>
                <w:sz w:val="22"/>
                <w:szCs w:val="22"/>
              </w:rPr>
            </w:pPr>
            <w:r w:rsidRPr="00D60DE6">
              <w:rPr>
                <w:sz w:val="22"/>
                <w:szCs w:val="22"/>
              </w:rPr>
              <w:t>Changes to the boundaries of a Growling Grass Frog conservation area are considered necessary if :</w:t>
            </w:r>
          </w:p>
        </w:tc>
      </w:tr>
      <w:tr w:rsidR="009759EA" w:rsidRPr="00D60DE6" w:rsidTr="002D48A8">
        <w:trPr>
          <w:cnfStyle w:val="000000010000" w:firstRow="0" w:lastRow="0" w:firstColumn="0" w:lastColumn="0" w:oddVBand="0" w:evenVBand="0" w:oddHBand="0" w:evenHBand="1"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4503" w:type="dxa"/>
            <w:gridSpan w:val="2"/>
            <w:tcBorders>
              <w:top w:val="single" w:sz="8" w:space="0" w:color="78C0D4" w:themeColor="accent5" w:themeTint="BF"/>
              <w:left w:val="nil"/>
              <w:bottom w:val="single" w:sz="8" w:space="0" w:color="78C0D4" w:themeColor="accent5" w:themeTint="BF"/>
            </w:tcBorders>
            <w:hideMark/>
          </w:tcPr>
          <w:p w:rsidR="009759EA" w:rsidRPr="004F2B71" w:rsidRDefault="009F1A36" w:rsidP="004F2B71">
            <w:pPr>
              <w:pStyle w:val="Body"/>
              <w:numPr>
                <w:ilvl w:val="0"/>
                <w:numId w:val="4"/>
              </w:numPr>
              <w:rPr>
                <w:b w:val="0"/>
                <w:sz w:val="22"/>
                <w:szCs w:val="22"/>
              </w:rPr>
            </w:pPr>
            <w:r w:rsidRPr="00D60DE6">
              <w:rPr>
                <w:b w:val="0"/>
                <w:sz w:val="22"/>
                <w:szCs w:val="22"/>
              </w:rPr>
              <w:t>The proposal results in a 85% or greater probability of a better outcome for the Growling Grass Frog in comparison to the current design, as determined by the predicted risk of extinction over 50 years, based on DELWP’s GGF stochastic patch occupancy model;</w:t>
            </w:r>
          </w:p>
        </w:tc>
        <w:tc>
          <w:tcPr>
            <w:tcW w:w="5386" w:type="dxa"/>
            <w:tcBorders>
              <w:top w:val="single" w:sz="8" w:space="0" w:color="78C0D4" w:themeColor="accent5" w:themeTint="BF"/>
              <w:bottom w:val="single" w:sz="8" w:space="0" w:color="78C0D4" w:themeColor="accent5" w:themeTint="BF"/>
              <w:right w:val="nil"/>
            </w:tcBorders>
          </w:tcPr>
          <w:p w:rsidR="009759EA" w:rsidRPr="00D60DE6" w:rsidRDefault="009F1A36" w:rsidP="009F1A36">
            <w:pPr>
              <w:pStyle w:val="ReplyLet"/>
              <w:cnfStyle w:val="000000010000" w:firstRow="0" w:lastRow="0" w:firstColumn="0" w:lastColumn="0" w:oddVBand="0" w:evenVBand="0" w:oddHBand="0" w:evenHBand="1" w:firstRowFirstColumn="0" w:firstRowLastColumn="0" w:lastRowFirstColumn="0" w:lastRowLastColumn="0"/>
              <w:rPr>
                <w:rFonts w:ascii="Calibri" w:hAnsi="Calibri" w:cs="Arial"/>
                <w:bCs/>
                <w:sz w:val="22"/>
                <w:szCs w:val="22"/>
              </w:rPr>
            </w:pPr>
            <w:r w:rsidRPr="00D60DE6">
              <w:rPr>
                <w:rFonts w:ascii="Calibri" w:hAnsi="Calibri" w:cs="Arial"/>
                <w:bCs/>
                <w:sz w:val="22"/>
                <w:szCs w:val="22"/>
              </w:rPr>
              <w:t>n/a</w:t>
            </w:r>
          </w:p>
        </w:tc>
      </w:tr>
      <w:tr w:rsidR="009F1A36" w:rsidRPr="00D60DE6" w:rsidTr="002D48A8">
        <w:trPr>
          <w:cnfStyle w:val="000000100000" w:firstRow="0" w:lastRow="0" w:firstColumn="0" w:lastColumn="0" w:oddVBand="0" w:evenVBand="0" w:oddHBand="1"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4503" w:type="dxa"/>
            <w:gridSpan w:val="2"/>
            <w:tcBorders>
              <w:top w:val="single" w:sz="8" w:space="0" w:color="78C0D4" w:themeColor="accent5" w:themeTint="BF"/>
              <w:left w:val="nil"/>
              <w:bottom w:val="single" w:sz="8" w:space="0" w:color="78C0D4" w:themeColor="accent5" w:themeTint="BF"/>
            </w:tcBorders>
          </w:tcPr>
          <w:p w:rsidR="009F1A36" w:rsidRPr="00D60DE6" w:rsidRDefault="009F1A36" w:rsidP="009F1A36">
            <w:pPr>
              <w:pStyle w:val="Body"/>
              <w:numPr>
                <w:ilvl w:val="0"/>
                <w:numId w:val="4"/>
              </w:numPr>
              <w:rPr>
                <w:b w:val="0"/>
                <w:sz w:val="22"/>
                <w:szCs w:val="22"/>
              </w:rPr>
            </w:pPr>
            <w:r w:rsidRPr="00D60DE6">
              <w:rPr>
                <w:b w:val="0"/>
                <w:sz w:val="22"/>
                <w:szCs w:val="22"/>
              </w:rPr>
              <w:t>The adjustment is  required to address one or more of the following site specific issues:</w:t>
            </w:r>
          </w:p>
          <w:p w:rsidR="009F1A36" w:rsidRPr="00D60DE6" w:rsidRDefault="009F1A36" w:rsidP="009F1A36">
            <w:pPr>
              <w:pStyle w:val="Body"/>
              <w:numPr>
                <w:ilvl w:val="0"/>
                <w:numId w:val="5"/>
              </w:numPr>
              <w:rPr>
                <w:b w:val="0"/>
                <w:sz w:val="22"/>
                <w:szCs w:val="22"/>
              </w:rPr>
            </w:pPr>
            <w:r w:rsidRPr="00D60DE6">
              <w:rPr>
                <w:b w:val="0"/>
                <w:sz w:val="22"/>
                <w:szCs w:val="22"/>
              </w:rPr>
              <w:t>urban infrastructure shown in the Growth Corridor Plans (GAA, 2013);</w:t>
            </w:r>
          </w:p>
          <w:p w:rsidR="009F1A36" w:rsidRPr="00D60DE6" w:rsidRDefault="009F1A36" w:rsidP="009F1A36">
            <w:pPr>
              <w:pStyle w:val="Body"/>
              <w:numPr>
                <w:ilvl w:val="0"/>
                <w:numId w:val="5"/>
              </w:numPr>
              <w:rPr>
                <w:b w:val="0"/>
                <w:sz w:val="22"/>
                <w:szCs w:val="22"/>
              </w:rPr>
            </w:pPr>
            <w:r w:rsidRPr="00D60DE6">
              <w:rPr>
                <w:b w:val="0"/>
                <w:sz w:val="22"/>
                <w:szCs w:val="22"/>
              </w:rPr>
              <w:t>existing or proposed new infrastructure of state significance;</w:t>
            </w:r>
          </w:p>
          <w:p w:rsidR="009F1A36" w:rsidRPr="00D60DE6" w:rsidRDefault="009F1A36" w:rsidP="009F1A36">
            <w:pPr>
              <w:pStyle w:val="Body"/>
              <w:numPr>
                <w:ilvl w:val="0"/>
                <w:numId w:val="5"/>
              </w:numPr>
              <w:rPr>
                <w:b w:val="0"/>
                <w:sz w:val="22"/>
                <w:szCs w:val="22"/>
              </w:rPr>
            </w:pPr>
            <w:r w:rsidRPr="00D60DE6">
              <w:rPr>
                <w:b w:val="0"/>
                <w:sz w:val="22"/>
                <w:szCs w:val="22"/>
              </w:rPr>
              <w:t>urban planning objectives of a precinct structure plan, such as appropriate urban form, roads, bridges, water management and other infrastructure;</w:t>
            </w:r>
          </w:p>
          <w:p w:rsidR="009F1A36" w:rsidRPr="00D60DE6" w:rsidRDefault="009F1A36" w:rsidP="009F1A36">
            <w:pPr>
              <w:pStyle w:val="Body"/>
              <w:numPr>
                <w:ilvl w:val="0"/>
                <w:numId w:val="5"/>
              </w:numPr>
              <w:rPr>
                <w:b w:val="0"/>
                <w:sz w:val="22"/>
                <w:szCs w:val="22"/>
              </w:rPr>
            </w:pPr>
            <w:r w:rsidRPr="00D60DE6">
              <w:rPr>
                <w:b w:val="0"/>
                <w:sz w:val="22"/>
                <w:szCs w:val="22"/>
              </w:rPr>
              <w:t>land made inaccessible as a result of a conservation area;</w:t>
            </w:r>
          </w:p>
          <w:p w:rsidR="009F1A36" w:rsidRPr="00D60DE6" w:rsidRDefault="009F1A36" w:rsidP="009F1A36">
            <w:pPr>
              <w:pStyle w:val="Body"/>
              <w:numPr>
                <w:ilvl w:val="0"/>
                <w:numId w:val="5"/>
              </w:numPr>
              <w:rPr>
                <w:b w:val="0"/>
                <w:sz w:val="22"/>
                <w:szCs w:val="22"/>
              </w:rPr>
            </w:pPr>
            <w:r w:rsidRPr="00D60DE6">
              <w:rPr>
                <w:b w:val="0"/>
                <w:sz w:val="22"/>
                <w:szCs w:val="22"/>
              </w:rPr>
              <w:t>existing buildings or other infrastructure on or near the boundary of a conservation area;</w:t>
            </w:r>
          </w:p>
          <w:p w:rsidR="009F1A36" w:rsidRPr="00D60DE6" w:rsidRDefault="009F1A36" w:rsidP="009F1A36">
            <w:pPr>
              <w:pStyle w:val="Body"/>
              <w:numPr>
                <w:ilvl w:val="0"/>
                <w:numId w:val="5"/>
              </w:numPr>
              <w:rPr>
                <w:b w:val="0"/>
                <w:sz w:val="22"/>
                <w:szCs w:val="22"/>
              </w:rPr>
            </w:pPr>
            <w:r w:rsidRPr="00D60DE6">
              <w:rPr>
                <w:b w:val="0"/>
                <w:sz w:val="22"/>
                <w:szCs w:val="22"/>
              </w:rPr>
              <w:t xml:space="preserve">final requirements of regional (metropolitan) park planning processes </w:t>
            </w:r>
          </w:p>
          <w:p w:rsidR="009F1A36" w:rsidRPr="00D60DE6" w:rsidRDefault="009F1A36" w:rsidP="009F1A36">
            <w:pPr>
              <w:pStyle w:val="Body"/>
              <w:numPr>
                <w:ilvl w:val="0"/>
                <w:numId w:val="5"/>
              </w:numPr>
              <w:rPr>
                <w:b w:val="0"/>
                <w:sz w:val="22"/>
                <w:szCs w:val="22"/>
              </w:rPr>
            </w:pPr>
            <w:r w:rsidRPr="00D60DE6">
              <w:rPr>
                <w:b w:val="0"/>
                <w:sz w:val="22"/>
                <w:szCs w:val="22"/>
              </w:rPr>
              <w:t>Errors in mapping</w:t>
            </w:r>
          </w:p>
        </w:tc>
        <w:tc>
          <w:tcPr>
            <w:tcW w:w="5386" w:type="dxa"/>
            <w:tcBorders>
              <w:top w:val="single" w:sz="8" w:space="0" w:color="78C0D4" w:themeColor="accent5" w:themeTint="BF"/>
              <w:bottom w:val="single" w:sz="8" w:space="0" w:color="78C0D4" w:themeColor="accent5" w:themeTint="BF"/>
              <w:right w:val="nil"/>
            </w:tcBorders>
          </w:tcPr>
          <w:p w:rsidR="007B20F0" w:rsidRPr="00D60DE6" w:rsidRDefault="00525FAB" w:rsidP="007B20F0">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bCs/>
                <w:sz w:val="22"/>
                <w:szCs w:val="22"/>
              </w:rPr>
            </w:pPr>
            <w:r w:rsidRPr="00D60DE6">
              <w:rPr>
                <w:rFonts w:ascii="Calibri" w:hAnsi="Calibri" w:cs="Calibri"/>
                <w:bCs/>
                <w:sz w:val="22"/>
                <w:szCs w:val="22"/>
              </w:rPr>
              <w:t xml:space="preserve">The </w:t>
            </w:r>
            <w:r w:rsidR="00D10885">
              <w:rPr>
                <w:rFonts w:ascii="Calibri" w:hAnsi="Calibri" w:cs="Calibri"/>
                <w:bCs/>
                <w:sz w:val="22"/>
                <w:szCs w:val="22"/>
              </w:rPr>
              <w:t>approved</w:t>
            </w:r>
            <w:r w:rsidRPr="00D60DE6">
              <w:rPr>
                <w:rFonts w:ascii="Calibri" w:hAnsi="Calibri" w:cs="Calibri"/>
                <w:bCs/>
                <w:sz w:val="22"/>
                <w:szCs w:val="22"/>
              </w:rPr>
              <w:t xml:space="preserve"> boundary change is required to amend errors in the boundary shown in the BCS, and support planning objectives identified in the precinct structure plan.</w:t>
            </w:r>
          </w:p>
          <w:p w:rsidR="00525FAB" w:rsidRPr="00D60DE6" w:rsidRDefault="00525FAB" w:rsidP="007B20F0">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bCs/>
                <w:sz w:val="22"/>
                <w:szCs w:val="22"/>
              </w:rPr>
            </w:pPr>
          </w:p>
          <w:p w:rsidR="007B20F0" w:rsidRPr="00D60DE6" w:rsidRDefault="00525FAB" w:rsidP="00525FAB">
            <w:pPr>
              <w:spacing w:after="100" w:afterAutospacing="1" w:line="120" w:lineRule="atLeast"/>
              <w:cnfStyle w:val="000000100000" w:firstRow="0" w:lastRow="0" w:firstColumn="0" w:lastColumn="0" w:oddVBand="0" w:evenVBand="0" w:oddHBand="1" w:evenHBand="0" w:firstRowFirstColumn="0" w:firstRowLastColumn="0" w:lastRowFirstColumn="0" w:lastRowLastColumn="0"/>
              <w:rPr>
                <w:rFonts w:cs="Calibri"/>
                <w:sz w:val="22"/>
                <w:szCs w:val="22"/>
                <w:lang w:eastAsia="en-AU"/>
              </w:rPr>
            </w:pPr>
            <w:r w:rsidRPr="00D60DE6">
              <w:rPr>
                <w:rFonts w:cs="Calibri"/>
                <w:sz w:val="22"/>
                <w:szCs w:val="22"/>
                <w:lang w:eastAsia="en-AU"/>
              </w:rPr>
              <w:t>The</w:t>
            </w:r>
            <w:r w:rsidRPr="007B20F0">
              <w:rPr>
                <w:rFonts w:cs="Calibri"/>
                <w:sz w:val="22"/>
                <w:szCs w:val="22"/>
                <w:lang w:eastAsia="en-AU"/>
              </w:rPr>
              <w:t xml:space="preserve"> </w:t>
            </w:r>
            <w:r w:rsidRPr="00D60DE6">
              <w:rPr>
                <w:rFonts w:cs="Calibri"/>
                <w:sz w:val="22"/>
                <w:szCs w:val="22"/>
                <w:lang w:eastAsia="en-AU"/>
              </w:rPr>
              <w:t xml:space="preserve">PSP was developed in parallel with the BCS and the boundary identified in the gazetted PSP matched a draft Conservation Management Plan subsequently approved by DELWP (then the Department of Sustainability and Environment). However the BCS </w:t>
            </w:r>
            <w:r w:rsidRPr="007B20F0">
              <w:rPr>
                <w:rFonts w:cs="Calibri"/>
                <w:sz w:val="22"/>
                <w:szCs w:val="22"/>
                <w:lang w:eastAsia="en-AU"/>
              </w:rPr>
              <w:t xml:space="preserve">did not incorporate the final agreed boundary. </w:t>
            </w:r>
          </w:p>
          <w:p w:rsidR="007B20F0" w:rsidRPr="00D60DE6" w:rsidRDefault="00525FAB" w:rsidP="007B20F0">
            <w:pPr>
              <w:pStyle w:val="ReplyLet"/>
              <w:cnfStyle w:val="000000100000" w:firstRow="0" w:lastRow="0" w:firstColumn="0" w:lastColumn="0" w:oddVBand="0" w:evenVBand="0" w:oddHBand="1" w:evenHBand="0" w:firstRowFirstColumn="0" w:firstRowLastColumn="0" w:lastRowFirstColumn="0" w:lastRowLastColumn="0"/>
              <w:rPr>
                <w:rFonts w:cs="Calibri"/>
                <w:sz w:val="22"/>
                <w:szCs w:val="22"/>
                <w:lang w:eastAsia="en-AU"/>
              </w:rPr>
            </w:pPr>
            <w:r w:rsidRPr="007B20F0">
              <w:rPr>
                <w:rFonts w:cs="Calibri"/>
                <w:sz w:val="22"/>
                <w:szCs w:val="22"/>
                <w:lang w:eastAsia="en-AU"/>
              </w:rPr>
              <w:t>Very minor corrections to the boundary shown in the PSP also need</w:t>
            </w:r>
            <w:r w:rsidR="00D10885">
              <w:rPr>
                <w:rFonts w:cs="Calibri"/>
                <w:sz w:val="22"/>
                <w:szCs w:val="22"/>
                <w:lang w:eastAsia="en-AU"/>
              </w:rPr>
              <w:t>ed</w:t>
            </w:r>
            <w:r w:rsidRPr="007B20F0">
              <w:rPr>
                <w:rFonts w:cs="Calibri"/>
                <w:sz w:val="22"/>
                <w:szCs w:val="22"/>
                <w:lang w:eastAsia="en-AU"/>
              </w:rPr>
              <w:t xml:space="preserve"> to be made to align it with the Rural Conservation Zone where this was intended</w:t>
            </w:r>
          </w:p>
          <w:p w:rsidR="00525FAB" w:rsidRPr="00D60DE6" w:rsidRDefault="00525FAB" w:rsidP="007B20F0">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bCs/>
                <w:sz w:val="22"/>
                <w:szCs w:val="22"/>
              </w:rPr>
            </w:pPr>
          </w:p>
          <w:p w:rsidR="007B20F0" w:rsidRPr="00D60DE6" w:rsidRDefault="007B20F0" w:rsidP="007B20F0">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bCs/>
                <w:sz w:val="22"/>
                <w:szCs w:val="22"/>
              </w:rPr>
            </w:pPr>
            <w:r w:rsidRPr="00D60DE6">
              <w:rPr>
                <w:rFonts w:ascii="Calibri" w:hAnsi="Calibri" w:cs="Calibri"/>
                <w:bCs/>
                <w:sz w:val="22"/>
                <w:szCs w:val="22"/>
              </w:rPr>
              <w:t>There is no loss of habitat for G</w:t>
            </w:r>
            <w:r w:rsidR="004F2B71">
              <w:rPr>
                <w:rFonts w:ascii="Calibri" w:hAnsi="Calibri" w:cs="Calibri"/>
                <w:bCs/>
                <w:sz w:val="22"/>
                <w:szCs w:val="22"/>
              </w:rPr>
              <w:t xml:space="preserve">rowling </w:t>
            </w:r>
            <w:r w:rsidRPr="00D60DE6">
              <w:rPr>
                <w:rFonts w:ascii="Calibri" w:hAnsi="Calibri" w:cs="Calibri"/>
                <w:bCs/>
                <w:sz w:val="22"/>
                <w:szCs w:val="22"/>
              </w:rPr>
              <w:t>G</w:t>
            </w:r>
            <w:r w:rsidR="004F2B71">
              <w:rPr>
                <w:rFonts w:ascii="Calibri" w:hAnsi="Calibri" w:cs="Calibri"/>
                <w:bCs/>
                <w:sz w:val="22"/>
                <w:szCs w:val="22"/>
              </w:rPr>
              <w:t xml:space="preserve">rass </w:t>
            </w:r>
            <w:r w:rsidRPr="00D60DE6">
              <w:rPr>
                <w:rFonts w:ascii="Calibri" w:hAnsi="Calibri" w:cs="Calibri"/>
                <w:bCs/>
                <w:sz w:val="22"/>
                <w:szCs w:val="22"/>
              </w:rPr>
              <w:t>F</w:t>
            </w:r>
            <w:r w:rsidR="004F2B71">
              <w:rPr>
                <w:rFonts w:ascii="Calibri" w:hAnsi="Calibri" w:cs="Calibri"/>
                <w:bCs/>
                <w:sz w:val="22"/>
                <w:szCs w:val="22"/>
              </w:rPr>
              <w:t>rog</w:t>
            </w:r>
            <w:r w:rsidRPr="00D60DE6">
              <w:rPr>
                <w:rFonts w:ascii="Calibri" w:hAnsi="Calibri" w:cs="Calibri"/>
                <w:bCs/>
                <w:sz w:val="22"/>
                <w:szCs w:val="22"/>
              </w:rPr>
              <w:t xml:space="preserve">, as the </w:t>
            </w:r>
            <w:proofErr w:type="spellStart"/>
            <w:r w:rsidRPr="00D60DE6">
              <w:rPr>
                <w:rFonts w:ascii="Calibri" w:hAnsi="Calibri" w:cs="Calibri"/>
                <w:bCs/>
                <w:sz w:val="22"/>
                <w:szCs w:val="22"/>
              </w:rPr>
              <w:t>masterplanning</w:t>
            </w:r>
            <w:proofErr w:type="spellEnd"/>
            <w:r w:rsidR="004F2B71">
              <w:rPr>
                <w:rFonts w:ascii="Calibri" w:hAnsi="Calibri" w:cs="Calibri"/>
                <w:bCs/>
                <w:sz w:val="22"/>
                <w:szCs w:val="22"/>
              </w:rPr>
              <w:t xml:space="preserve"> process</w:t>
            </w:r>
            <w:r w:rsidRPr="00D60DE6">
              <w:rPr>
                <w:rFonts w:ascii="Calibri" w:hAnsi="Calibri" w:cs="Calibri"/>
                <w:bCs/>
                <w:sz w:val="22"/>
                <w:szCs w:val="22"/>
              </w:rPr>
              <w:t xml:space="preserve"> is based on the conservation area boundaries shown in the PSP.</w:t>
            </w:r>
          </w:p>
          <w:p w:rsidR="00525FAB" w:rsidRPr="00D60DE6" w:rsidRDefault="00525FAB" w:rsidP="007B20F0">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bCs/>
                <w:sz w:val="22"/>
                <w:szCs w:val="22"/>
              </w:rPr>
            </w:pPr>
          </w:p>
          <w:p w:rsidR="00525FAB" w:rsidRPr="00D60DE6" w:rsidRDefault="00525FAB" w:rsidP="007B20F0">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bCs/>
                <w:sz w:val="22"/>
                <w:szCs w:val="22"/>
              </w:rPr>
            </w:pPr>
          </w:p>
          <w:p w:rsidR="009F1A36" w:rsidRPr="00D60DE6" w:rsidRDefault="009F1A36" w:rsidP="00525FAB">
            <w:pPr>
              <w:spacing w:after="100" w:afterAutospacing="1" w:line="120" w:lineRule="atLeast"/>
              <w:cnfStyle w:val="000000100000" w:firstRow="0" w:lastRow="0" w:firstColumn="0" w:lastColumn="0" w:oddVBand="0" w:evenVBand="0" w:oddHBand="1" w:evenHBand="0" w:firstRowFirstColumn="0" w:firstRowLastColumn="0" w:lastRowFirstColumn="0" w:lastRowLastColumn="0"/>
              <w:rPr>
                <w:rFonts w:cs="Arial"/>
                <w:bCs/>
                <w:sz w:val="22"/>
                <w:szCs w:val="22"/>
              </w:rPr>
            </w:pPr>
          </w:p>
        </w:tc>
      </w:tr>
    </w:tbl>
    <w:p w:rsidR="002D48A8" w:rsidRDefault="002D48A8" w:rsidP="009759EA">
      <w:pPr>
        <w:pStyle w:val="Body"/>
        <w:rPr>
          <w:b/>
          <w:sz w:val="24"/>
        </w:rPr>
      </w:pPr>
    </w:p>
    <w:p w:rsidR="009759EA" w:rsidRPr="00BD232A" w:rsidRDefault="009759EA" w:rsidP="009759EA">
      <w:pPr>
        <w:pStyle w:val="Body"/>
        <w:rPr>
          <w:b/>
          <w:sz w:val="24"/>
        </w:rPr>
      </w:pPr>
      <w:r>
        <w:rPr>
          <w:b/>
          <w:sz w:val="24"/>
        </w:rPr>
        <w:t>Commonwealth Government Approval</w:t>
      </w:r>
    </w:p>
    <w:p w:rsidR="009759EA" w:rsidRDefault="009759EA" w:rsidP="009759EA">
      <w:pPr>
        <w:pStyle w:val="Body"/>
      </w:pPr>
      <w:r>
        <w:t xml:space="preserve">DELWP is satisfied that the proposed boundary change meets the boundary change criteria identified in the </w:t>
      </w:r>
      <w:r w:rsidRPr="005F05B9">
        <w:t>Guidance note: Implementing the Biodiversity Conservation Strategy for Melbourne’s Growth Corridors</w:t>
      </w:r>
      <w:r>
        <w:t xml:space="preserve"> and </w:t>
      </w:r>
      <w:r w:rsidR="00D10885">
        <w:t>has received approval from the Commonwealth Minister.</w:t>
      </w:r>
    </w:p>
    <w:p w:rsidR="009759EA" w:rsidRDefault="009759EA" w:rsidP="009759EA">
      <w:pPr>
        <w:pStyle w:val="Body"/>
        <w:rPr>
          <w:b/>
          <w:sz w:val="24"/>
        </w:rPr>
      </w:pPr>
      <w:r w:rsidRPr="0008374C">
        <w:rPr>
          <w:b/>
          <w:sz w:val="24"/>
        </w:rPr>
        <w:lastRenderedPageBreak/>
        <w:t>Appendix 1: Map of proposed boundary change and site values</w:t>
      </w:r>
      <w:r w:rsidR="00D10885">
        <w:rPr>
          <w:b/>
          <w:sz w:val="24"/>
        </w:rPr>
        <w:t>, which has been approved by the Commonwealth</w:t>
      </w:r>
    </w:p>
    <w:p w:rsidR="004F2B71" w:rsidRPr="0008374C" w:rsidRDefault="004F2B71" w:rsidP="009759EA">
      <w:pPr>
        <w:pStyle w:val="Body"/>
        <w:rPr>
          <w:b/>
          <w:sz w:val="24"/>
        </w:rPr>
      </w:pPr>
      <w:r>
        <w:rPr>
          <w:b/>
          <w:noProof/>
          <w:sz w:val="24"/>
          <w:lang w:eastAsia="en-AU"/>
        </w:rPr>
        <w:drawing>
          <wp:inline distT="0" distB="0" distL="0" distR="0">
            <wp:extent cx="6480810" cy="6254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D0027_CA15_RockbankNthPSP_2016020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80810" cy="6254115"/>
                    </a:xfrm>
                    <a:prstGeom prst="rect">
                      <a:avLst/>
                    </a:prstGeom>
                  </pic:spPr>
                </pic:pic>
              </a:graphicData>
            </a:graphic>
          </wp:inline>
        </w:drawing>
      </w:r>
      <w:bookmarkStart w:id="1" w:name="_GoBack"/>
      <w:bookmarkEnd w:id="1"/>
    </w:p>
    <w:p w:rsidR="009759EA" w:rsidRDefault="009759EA" w:rsidP="009759EA">
      <w:pPr>
        <w:pStyle w:val="Body"/>
        <w:rPr>
          <w:sz w:val="24"/>
        </w:rPr>
      </w:pPr>
    </w:p>
    <w:p w:rsidR="009759EA" w:rsidRPr="002E51C7" w:rsidRDefault="009759EA" w:rsidP="009759EA">
      <w:pPr>
        <w:pStyle w:val="Body"/>
        <w:rPr>
          <w:sz w:val="24"/>
        </w:rPr>
      </w:pPr>
    </w:p>
    <w:p w:rsidR="009759EA" w:rsidRDefault="009759EA" w:rsidP="009759EA"/>
    <w:p w:rsidR="009759EA" w:rsidRDefault="009759EA" w:rsidP="009759EA"/>
    <w:p w:rsidR="00F44D11" w:rsidRDefault="009E5AEC"/>
    <w:sectPr w:rsidR="00F44D11" w:rsidSect="00031FA3">
      <w:headerReference w:type="default" r:id="rId9"/>
      <w:footerReference w:type="default" r:id="rId10"/>
      <w:headerReference w:type="first" r:id="rId11"/>
      <w:footerReference w:type="first" r:id="rId12"/>
      <w:pgSz w:w="11907" w:h="16840" w:code="9"/>
      <w:pgMar w:top="1843" w:right="567" w:bottom="851" w:left="1134" w:header="284" w:footer="1020"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69D" w:rsidRDefault="009D1E86">
      <w:r>
        <w:separator/>
      </w:r>
    </w:p>
  </w:endnote>
  <w:endnote w:type="continuationSeparator" w:id="0">
    <w:p w:rsidR="0024269D" w:rsidRDefault="009D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Pr="00C86652" w:rsidRDefault="009E5AEC" w:rsidP="00C86652">
    <w:pPr>
      <w:pStyle w:val="ImprintBreak"/>
    </w:pPr>
  </w:p>
  <w:p w:rsidR="0008374C" w:rsidRDefault="004F2B71" w:rsidP="006643F2">
    <w:pPr>
      <w:pStyle w:val="ImprintText"/>
    </w:pPr>
    <w:r>
      <w:rPr>
        <w:noProof/>
        <w:lang w:eastAsia="en-AU"/>
      </w:rPr>
      <w:drawing>
        <wp:anchor distT="0" distB="0" distL="114300" distR="114300" simplePos="0" relativeHeight="251663360" behindDoc="0" locked="0" layoutInCell="1" allowOverlap="1" wp14:anchorId="1F518FF6" wp14:editId="170CA4D0">
          <wp:simplePos x="0" y="0"/>
          <wp:positionH relativeFrom="column">
            <wp:posOffset>4484764</wp:posOffset>
          </wp:positionH>
          <wp:positionV relativeFrom="paragraph">
            <wp:posOffset>1463</wp:posOffset>
          </wp:positionV>
          <wp:extent cx="1814676" cy="5397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4676" cy="539750"/>
                  </a:xfrm>
                  <a:prstGeom prst="rect">
                    <a:avLst/>
                  </a:prstGeom>
                </pic:spPr>
              </pic:pic>
            </a:graphicData>
          </a:graphic>
          <wp14:sizeRelH relativeFrom="margin">
            <wp14:pctWidth>0</wp14:pctWidth>
          </wp14:sizeRelH>
          <wp14:sizeRelV relativeFrom="margin">
            <wp14:pctHeight>0</wp14:pctHeight>
          </wp14:sizeRelV>
        </wp:anchor>
      </w:drawing>
    </w:r>
    <w:r w:rsidRPr="0091317E">
      <w:rPr>
        <w:rFonts w:ascii="Arial" w:hAnsi="Arial"/>
      </w:rPr>
      <w:t xml:space="preserve">© </w:t>
    </w:r>
    <w:r w:rsidRPr="006643F2">
      <w:t>The State of Victoria Department of Environment, Land, Water and Planning 2015</w:t>
    </w:r>
  </w:p>
  <w:p w:rsidR="0008374C" w:rsidRPr="00031FA3" w:rsidRDefault="004F2B71" w:rsidP="00031FA3">
    <w:pPr>
      <w:autoSpaceDE w:val="0"/>
      <w:autoSpaceDN w:val="0"/>
      <w:adjustRightInd w:val="0"/>
      <w:ind w:left="1134"/>
      <w:rPr>
        <w:rFonts w:cstheme="minorHAnsi"/>
        <w:color w:val="0000FF"/>
        <w:sz w:val="16"/>
        <w:szCs w:val="16"/>
        <w:u w:val="single"/>
      </w:rPr>
    </w:pPr>
    <w:r w:rsidRPr="00031FA3">
      <w:rPr>
        <w:rFonts w:cstheme="minorHAnsi"/>
        <w:noProof/>
        <w:color w:val="000000"/>
        <w:sz w:val="16"/>
        <w:szCs w:val="16"/>
        <w:lang w:eastAsia="en-AU"/>
      </w:rPr>
      <w:drawing>
        <wp:anchor distT="0" distB="0" distL="144145" distR="144145" simplePos="0" relativeHeight="251661312" behindDoc="1" locked="0" layoutInCell="1" allowOverlap="1" wp14:anchorId="5B1B8E3C" wp14:editId="4B2C895C">
          <wp:simplePos x="0" y="0"/>
          <wp:positionH relativeFrom="column">
            <wp:posOffset>5080</wp:posOffset>
          </wp:positionH>
          <wp:positionV relativeFrom="paragraph">
            <wp:posOffset>21590</wp:posOffset>
          </wp:positionV>
          <wp:extent cx="669925" cy="234315"/>
          <wp:effectExtent l="0" t="0" r="0" b="0"/>
          <wp:wrapTight wrapText="bothSides">
            <wp:wrapPolygon edited="0">
              <wp:start x="0" y="0"/>
              <wp:lineTo x="0" y="19317"/>
              <wp:lineTo x="20883" y="19317"/>
              <wp:lineTo x="2088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69925" cy="234315"/>
                  </a:xfrm>
                  <a:prstGeom prst="rect">
                    <a:avLst/>
                  </a:prstGeom>
                </pic:spPr>
              </pic:pic>
            </a:graphicData>
          </a:graphic>
          <wp14:sizeRelH relativeFrom="page">
            <wp14:pctWidth>0</wp14:pctWidth>
          </wp14:sizeRelH>
          <wp14:sizeRelV relativeFrom="page">
            <wp14:pctHeight>0</wp14:pctHeight>
          </wp14:sizeRelV>
        </wp:anchor>
      </w:drawing>
    </w:r>
    <w:r w:rsidRPr="00031FA3">
      <w:rPr>
        <w:rFonts w:cs="Calibri"/>
        <w:color w:val="000000"/>
        <w:sz w:val="16"/>
        <w:szCs w:val="16"/>
      </w:rPr>
      <w:t xml:space="preserve">This work is licensed under a </w:t>
    </w:r>
    <w:hyperlink r:id="rId3" w:history="1">
      <w:r w:rsidRPr="00031FA3">
        <w:rPr>
          <w:rFonts w:cs="Calibri"/>
          <w:color w:val="0000FF"/>
          <w:sz w:val="16"/>
          <w:szCs w:val="16"/>
          <w:u w:val="single"/>
        </w:rPr>
        <w:t>Creative Commons Attribution 4.0 International licence</w:t>
      </w:r>
    </w:hyperlink>
    <w:r w:rsidRPr="00031FA3">
      <w:rPr>
        <w:rFonts w:cstheme="minorHAnsi"/>
        <w:color w:val="000000"/>
        <w:sz w:val="16"/>
        <w:szCs w:val="16"/>
      </w:rPr>
      <w:br/>
    </w:r>
    <w:r w:rsidRPr="00031FA3">
      <w:rPr>
        <w:rFonts w:cs="Calibri"/>
        <w:color w:val="000000"/>
        <w:sz w:val="16"/>
        <w:szCs w:val="16"/>
      </w:rPr>
      <w:t xml:space="preserve">To view a copy of this licence, visit </w:t>
    </w:r>
    <w:r w:rsidRPr="00031FA3">
      <w:rPr>
        <w:rFonts w:cs="Calibri"/>
        <w:color w:val="0000FF"/>
        <w:sz w:val="16"/>
        <w:szCs w:val="16"/>
        <w:u w:val="single"/>
      </w:rPr>
      <w:t>http://creativecommons.org/licenses/by/4.0/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Default="004F2B71" w:rsidP="002015AD">
    <w:pPr>
      <w:pStyle w:val="Footer"/>
    </w:pPr>
    <w:r>
      <w:rPr>
        <w:noProof/>
        <w:lang w:eastAsia="en-AU"/>
      </w:rPr>
      <w:drawing>
        <wp:anchor distT="0" distB="0" distL="114300" distR="114300" simplePos="0" relativeHeight="251662336" behindDoc="0" locked="0" layoutInCell="1" allowOverlap="1" wp14:anchorId="4957A2CF" wp14:editId="420DAC4D">
          <wp:simplePos x="0" y="0"/>
          <wp:positionH relativeFrom="column">
            <wp:posOffset>4590368</wp:posOffset>
          </wp:positionH>
          <wp:positionV relativeFrom="paragraph">
            <wp:posOffset>35643</wp:posOffset>
          </wp:positionV>
          <wp:extent cx="1815517" cy="540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5517" cy="540000"/>
                  </a:xfrm>
                  <a:prstGeom prst="rect">
                    <a:avLst/>
                  </a:prstGeom>
                </pic:spPr>
              </pic:pic>
            </a:graphicData>
          </a:graphic>
          <wp14:sizeRelH relativeFrom="margin">
            <wp14:pctWidth>0</wp14:pctWidth>
          </wp14:sizeRelH>
          <wp14:sizeRelV relativeFrom="margin">
            <wp14:pctHeight>0</wp14:pctHeight>
          </wp14:sizeRelV>
        </wp:anchor>
      </w:drawing>
    </w:r>
  </w:p>
  <w:p w:rsidR="0008374C" w:rsidRDefault="009E5AEC" w:rsidP="002015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69D" w:rsidRDefault="009D1E86">
      <w:r>
        <w:separator/>
      </w:r>
    </w:p>
  </w:footnote>
  <w:footnote w:type="continuationSeparator" w:id="0">
    <w:p w:rsidR="0024269D" w:rsidRDefault="009D1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9747"/>
    </w:tblGrid>
    <w:tr w:rsidR="0008374C" w:rsidRPr="00F83A6F" w:rsidTr="00125376">
      <w:trPr>
        <w:trHeight w:val="1286"/>
      </w:trPr>
      <w:tc>
        <w:tcPr>
          <w:tcW w:w="9747" w:type="dxa"/>
          <w:shd w:val="clear" w:color="auto" w:fill="auto"/>
          <w:vAlign w:val="center"/>
        </w:tcPr>
        <w:p w:rsidR="0008374C" w:rsidRDefault="004F2B71" w:rsidP="007D06DC">
          <w:pPr>
            <w:pStyle w:val="CertHDWhite"/>
            <w:tabs>
              <w:tab w:val="left" w:pos="7513"/>
            </w:tabs>
          </w:pPr>
          <w:r>
            <w:rPr>
              <w:noProof/>
              <w:lang w:eastAsia="en-AU"/>
            </w:rPr>
            <w:drawing>
              <wp:anchor distT="0" distB="0" distL="114300" distR="114300" simplePos="0" relativeHeight="251659264" behindDoc="1" locked="0" layoutInCell="1" allowOverlap="1" wp14:anchorId="4D719ABB" wp14:editId="1A49E136">
                <wp:simplePos x="0" y="0"/>
                <wp:positionH relativeFrom="column">
                  <wp:posOffset>-382270</wp:posOffset>
                </wp:positionH>
                <wp:positionV relativeFrom="paragraph">
                  <wp:posOffset>151130</wp:posOffset>
                </wp:positionV>
                <wp:extent cx="6868160" cy="815340"/>
                <wp:effectExtent l="0" t="0" r="8890" b="3810"/>
                <wp:wrapNone/>
                <wp:docPr id="5" name="Picture 5"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8374C" w:rsidRPr="008110B2" w:rsidRDefault="004F2B71" w:rsidP="00D10885">
          <w:pPr>
            <w:pStyle w:val="CertHDWhite"/>
            <w:tabs>
              <w:tab w:val="left" w:pos="3544"/>
              <w:tab w:val="left" w:pos="7513"/>
            </w:tabs>
            <w:rPr>
              <w:szCs w:val="40"/>
            </w:rPr>
          </w:pPr>
          <w:r>
            <w:rPr>
              <w:szCs w:val="40"/>
            </w:rPr>
            <w:t xml:space="preserve">Notice of </w:t>
          </w:r>
          <w:r w:rsidR="00D10885">
            <w:rPr>
              <w:szCs w:val="40"/>
            </w:rPr>
            <w:t>Approved</w:t>
          </w:r>
          <w:r>
            <w:rPr>
              <w:szCs w:val="40"/>
            </w:rPr>
            <w:t xml:space="preserve"> Boundary Change</w:t>
          </w:r>
        </w:p>
      </w:tc>
    </w:tr>
  </w:tbl>
  <w:p w:rsidR="0008374C" w:rsidRDefault="009E5AEC"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Default="004F2B71" w:rsidP="0003050C">
    <w:pPr>
      <w:pStyle w:val="Header"/>
    </w:pPr>
    <w:r>
      <w:rPr>
        <w:noProof/>
        <w:lang w:eastAsia="en-AU"/>
      </w:rPr>
      <w:drawing>
        <wp:anchor distT="0" distB="0" distL="114300" distR="114300" simplePos="0" relativeHeight="251660288" behindDoc="1" locked="0" layoutInCell="1" allowOverlap="1" wp14:anchorId="069E680A" wp14:editId="060A0467">
          <wp:simplePos x="0" y="0"/>
          <wp:positionH relativeFrom="column">
            <wp:posOffset>-323850</wp:posOffset>
          </wp:positionH>
          <wp:positionV relativeFrom="paragraph">
            <wp:posOffset>236855</wp:posOffset>
          </wp:positionV>
          <wp:extent cx="6831330" cy="1808480"/>
          <wp:effectExtent l="0" t="0" r="7620" b="1270"/>
          <wp:wrapNone/>
          <wp:docPr id="8" name="Picture 8"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1330" cy="18084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271D7"/>
    <w:multiLevelType w:val="hybridMultilevel"/>
    <w:tmpl w:val="290C203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3B8E0378"/>
    <w:multiLevelType w:val="hybridMultilevel"/>
    <w:tmpl w:val="9EF804F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31E5A30"/>
    <w:multiLevelType w:val="hybridMultilevel"/>
    <w:tmpl w:val="4B7AF270"/>
    <w:lvl w:ilvl="0" w:tplc="0C090005">
      <w:start w:val="1"/>
      <w:numFmt w:val="bullet"/>
      <w:lvlText w:val=""/>
      <w:lvlJc w:val="left"/>
      <w:pPr>
        <w:ind w:left="720" w:hanging="360"/>
      </w:pPr>
      <w:rPr>
        <w:rFonts w:ascii="Wingdings" w:hAnsi="Wingdings" w:hint="default"/>
      </w:rPr>
    </w:lvl>
    <w:lvl w:ilvl="1" w:tplc="D28E2C94">
      <w:start w:val="5"/>
      <w:numFmt w:val="bullet"/>
      <w:lvlText w:val="-"/>
      <w:lvlJc w:val="left"/>
      <w:pPr>
        <w:ind w:left="1440" w:hanging="360"/>
      </w:pPr>
      <w:rPr>
        <w:rFonts w:ascii="Arial" w:eastAsia="Times New Roman"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A0367CB"/>
    <w:multiLevelType w:val="hybridMultilevel"/>
    <w:tmpl w:val="70CA6710"/>
    <w:lvl w:ilvl="0" w:tplc="4752A8C2">
      <w:start w:val="1"/>
      <w:numFmt w:val="upperLetter"/>
      <w:lvlText w:val="%1."/>
      <w:lvlJc w:val="left"/>
      <w:pPr>
        <w:ind w:left="360" w:hanging="360"/>
      </w:pPr>
      <w:rPr>
        <w:rFonts w:hint="default"/>
        <w:b w:val="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67D81F30"/>
    <w:multiLevelType w:val="hybridMultilevel"/>
    <w:tmpl w:val="5A8283EE"/>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6C1F2484"/>
    <w:multiLevelType w:val="hybridMultilevel"/>
    <w:tmpl w:val="3F564FF2"/>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2F60DF0"/>
    <w:multiLevelType w:val="hybridMultilevel"/>
    <w:tmpl w:val="A0A66BBC"/>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62F29B3"/>
    <w:multiLevelType w:val="hybridMultilevel"/>
    <w:tmpl w:val="FED498E2"/>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3"/>
  </w:num>
  <w:num w:numId="5">
    <w:abstractNumId w:val="4"/>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9EA"/>
    <w:rsid w:val="001D0CB9"/>
    <w:rsid w:val="00215E08"/>
    <w:rsid w:val="0024269D"/>
    <w:rsid w:val="002D48A8"/>
    <w:rsid w:val="004C0F82"/>
    <w:rsid w:val="004F2B71"/>
    <w:rsid w:val="00525FAB"/>
    <w:rsid w:val="006508A7"/>
    <w:rsid w:val="00790A1C"/>
    <w:rsid w:val="007B20F0"/>
    <w:rsid w:val="009759EA"/>
    <w:rsid w:val="009D1E86"/>
    <w:rsid w:val="009E5AEC"/>
    <w:rsid w:val="009F1A36"/>
    <w:rsid w:val="00AE6ECD"/>
    <w:rsid w:val="00B174D0"/>
    <w:rsid w:val="00D10885"/>
    <w:rsid w:val="00D60DE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9759EA"/>
    <w:pPr>
      <w:spacing w:after="0" w:line="240" w:lineRule="auto"/>
    </w:pPr>
    <w:rPr>
      <w:rFonts w:ascii="Calibri" w:eastAsia="Times New Roman" w:hAnsi="Calibri"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9759EA"/>
    <w:pPr>
      <w:spacing w:after="113" w:line="240" w:lineRule="atLeast"/>
    </w:pPr>
    <w:rPr>
      <w:rFonts w:ascii="Calibri" w:eastAsia="Times New Roman" w:hAnsi="Calibri" w:cs="Arial"/>
      <w:szCs w:val="24"/>
    </w:rPr>
  </w:style>
  <w:style w:type="paragraph" w:customStyle="1" w:styleId="CertHBWhite">
    <w:name w:val="_CertHBWhite"/>
    <w:rsid w:val="009759EA"/>
    <w:pPr>
      <w:spacing w:after="0" w:line="720" w:lineRule="atLeast"/>
    </w:pPr>
    <w:rPr>
      <w:rFonts w:ascii="Calibri" w:eastAsia="Times New Roman" w:hAnsi="Calibri" w:cs="Arial"/>
      <w:color w:val="FFFFFF"/>
      <w:sz w:val="72"/>
      <w:szCs w:val="24"/>
    </w:rPr>
  </w:style>
  <w:style w:type="paragraph" w:customStyle="1" w:styleId="CertHDWhite">
    <w:name w:val="_CertHDWhite"/>
    <w:uiPriority w:val="3"/>
    <w:rsid w:val="009759EA"/>
    <w:pPr>
      <w:spacing w:after="0" w:line="440" w:lineRule="atLeast"/>
    </w:pPr>
    <w:rPr>
      <w:rFonts w:ascii="Calibri" w:eastAsia="Times New Roman" w:hAnsi="Calibri" w:cs="Arial"/>
      <w:color w:val="FFFFFF"/>
      <w:sz w:val="40"/>
      <w:szCs w:val="24"/>
    </w:rPr>
  </w:style>
  <w:style w:type="paragraph" w:customStyle="1" w:styleId="HA">
    <w:name w:val="_HA"/>
    <w:next w:val="Body"/>
    <w:uiPriority w:val="2"/>
    <w:qFormat/>
    <w:rsid w:val="009759EA"/>
    <w:pPr>
      <w:spacing w:after="600" w:line="460" w:lineRule="atLeast"/>
      <w:outlineLvl w:val="0"/>
    </w:pPr>
    <w:rPr>
      <w:rFonts w:ascii="Calibri" w:eastAsia="Times New Roman" w:hAnsi="Calibri" w:cs="Arial"/>
      <w:color w:val="228591"/>
      <w:sz w:val="40"/>
      <w:szCs w:val="24"/>
      <w:lang w:val="en-US"/>
    </w:rPr>
  </w:style>
  <w:style w:type="paragraph" w:customStyle="1" w:styleId="HC">
    <w:name w:val="_HC"/>
    <w:next w:val="Body"/>
    <w:uiPriority w:val="2"/>
    <w:qFormat/>
    <w:rsid w:val="009759EA"/>
    <w:pPr>
      <w:spacing w:before="140" w:after="57" w:line="220" w:lineRule="atLeast"/>
    </w:pPr>
    <w:rPr>
      <w:rFonts w:ascii="Calibri" w:eastAsia="Times New Roman" w:hAnsi="Calibri" w:cs="Arial"/>
      <w:b/>
      <w:sz w:val="24"/>
      <w:szCs w:val="24"/>
    </w:rPr>
  </w:style>
  <w:style w:type="paragraph" w:customStyle="1" w:styleId="Pullout">
    <w:name w:val="_Pullout"/>
    <w:qFormat/>
    <w:rsid w:val="009759EA"/>
    <w:pPr>
      <w:spacing w:before="85" w:after="170" w:line="300" w:lineRule="atLeast"/>
    </w:pPr>
    <w:rPr>
      <w:rFonts w:ascii="Calibri" w:eastAsia="Times New Roman" w:hAnsi="Calibri" w:cs="Arial"/>
      <w:color w:val="228591"/>
      <w:sz w:val="24"/>
      <w:szCs w:val="24"/>
    </w:rPr>
  </w:style>
  <w:style w:type="paragraph" w:styleId="Header">
    <w:name w:val="header"/>
    <w:basedOn w:val="Normal"/>
    <w:link w:val="HeaderChar"/>
    <w:semiHidden/>
    <w:rsid w:val="009759EA"/>
    <w:pPr>
      <w:tabs>
        <w:tab w:val="center" w:pos="4320"/>
        <w:tab w:val="right" w:pos="8640"/>
      </w:tabs>
    </w:pPr>
  </w:style>
  <w:style w:type="character" w:customStyle="1" w:styleId="HeaderChar">
    <w:name w:val="Header Char"/>
    <w:basedOn w:val="DefaultParagraphFont"/>
    <w:link w:val="Header"/>
    <w:semiHidden/>
    <w:rsid w:val="009759EA"/>
    <w:rPr>
      <w:rFonts w:ascii="Calibri" w:eastAsia="Times New Roman" w:hAnsi="Calibri" w:cs="Times New Roman"/>
      <w:szCs w:val="24"/>
    </w:rPr>
  </w:style>
  <w:style w:type="paragraph" w:styleId="Footer">
    <w:name w:val="footer"/>
    <w:basedOn w:val="Normal"/>
    <w:link w:val="FooterChar"/>
    <w:semiHidden/>
    <w:rsid w:val="009759EA"/>
    <w:pPr>
      <w:tabs>
        <w:tab w:val="center" w:pos="4320"/>
        <w:tab w:val="right" w:pos="8640"/>
      </w:tabs>
    </w:pPr>
  </w:style>
  <w:style w:type="character" w:customStyle="1" w:styleId="FooterChar">
    <w:name w:val="Footer Char"/>
    <w:basedOn w:val="DefaultParagraphFont"/>
    <w:link w:val="Footer"/>
    <w:semiHidden/>
    <w:rsid w:val="009759EA"/>
    <w:rPr>
      <w:rFonts w:ascii="Calibri" w:eastAsia="Times New Roman" w:hAnsi="Calibri" w:cs="Times New Roman"/>
      <w:szCs w:val="24"/>
    </w:rPr>
  </w:style>
  <w:style w:type="paragraph" w:customStyle="1" w:styleId="ImprintBreak">
    <w:name w:val="_ImprintBreak"/>
    <w:next w:val="Normal"/>
    <w:uiPriority w:val="9"/>
    <w:rsid w:val="009759EA"/>
    <w:pPr>
      <w:pBdr>
        <w:top w:val="dotted" w:sz="12" w:space="1" w:color="3BBEB4"/>
      </w:pBdr>
      <w:spacing w:after="0" w:line="240" w:lineRule="auto"/>
    </w:pPr>
    <w:rPr>
      <w:rFonts w:ascii="Calibri" w:eastAsia="Times New Roman" w:hAnsi="Calibri" w:cs="Arial"/>
      <w:sz w:val="8"/>
      <w:szCs w:val="8"/>
    </w:rPr>
  </w:style>
  <w:style w:type="paragraph" w:customStyle="1" w:styleId="ImprintText">
    <w:name w:val="_ImprintText"/>
    <w:uiPriority w:val="9"/>
    <w:rsid w:val="009759EA"/>
    <w:pPr>
      <w:spacing w:after="85" w:line="170" w:lineRule="atLeast"/>
    </w:pPr>
    <w:rPr>
      <w:rFonts w:ascii="Calibri" w:eastAsia="Times New Roman" w:hAnsi="Calibri" w:cs="Arial"/>
      <w:sz w:val="16"/>
      <w:szCs w:val="14"/>
    </w:rPr>
  </w:style>
  <w:style w:type="paragraph" w:customStyle="1" w:styleId="ImprintBreak2">
    <w:name w:val="_ImprintBreak2"/>
    <w:uiPriority w:val="9"/>
    <w:rsid w:val="009759EA"/>
    <w:pPr>
      <w:spacing w:after="0" w:line="240" w:lineRule="auto"/>
    </w:pPr>
    <w:rPr>
      <w:rFonts w:ascii="Calibri" w:eastAsia="Times New Roman" w:hAnsi="Calibri" w:cs="Arial"/>
      <w:sz w:val="8"/>
      <w:szCs w:val="8"/>
    </w:rPr>
  </w:style>
  <w:style w:type="character" w:customStyle="1" w:styleId="ReplyLetChar">
    <w:name w:val="ReplyLet Char"/>
    <w:link w:val="ReplyLet"/>
    <w:locked/>
    <w:rsid w:val="009759EA"/>
    <w:rPr>
      <w:sz w:val="23"/>
      <w:szCs w:val="24"/>
    </w:rPr>
  </w:style>
  <w:style w:type="paragraph" w:customStyle="1" w:styleId="ReplyLet">
    <w:name w:val="ReplyLet"/>
    <w:basedOn w:val="Normal"/>
    <w:link w:val="ReplyLetChar"/>
    <w:qFormat/>
    <w:rsid w:val="009759EA"/>
    <w:pPr>
      <w:jc w:val="both"/>
    </w:pPr>
    <w:rPr>
      <w:rFonts w:asciiTheme="minorHAnsi" w:eastAsiaTheme="minorHAnsi" w:hAnsiTheme="minorHAnsi" w:cstheme="minorBidi"/>
      <w:sz w:val="23"/>
    </w:rPr>
  </w:style>
  <w:style w:type="table" w:styleId="MediumShading1-Accent5">
    <w:name w:val="Medium Shading 1 Accent 5"/>
    <w:basedOn w:val="TableNormal"/>
    <w:uiPriority w:val="63"/>
    <w:rsid w:val="009759EA"/>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78C0D4" w:themeColor="accent5" w:themeTint="BF"/>
        <w:bottom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DPIBodytext">
    <w:name w:val="DPI Body text"/>
    <w:basedOn w:val="Normal"/>
    <w:qFormat/>
    <w:rsid w:val="009759EA"/>
    <w:pPr>
      <w:spacing w:before="120" w:line="260" w:lineRule="exact"/>
    </w:pPr>
    <w:rPr>
      <w:rFonts w:ascii="Times New Roman" w:hAnsi="Times New Roman"/>
      <w:sz w:val="23"/>
      <w:szCs w:val="20"/>
    </w:rPr>
  </w:style>
  <w:style w:type="paragraph" w:styleId="BalloonText">
    <w:name w:val="Balloon Text"/>
    <w:basedOn w:val="Normal"/>
    <w:link w:val="BalloonTextChar"/>
    <w:uiPriority w:val="99"/>
    <w:semiHidden/>
    <w:unhideWhenUsed/>
    <w:rsid w:val="004F2B71"/>
    <w:rPr>
      <w:rFonts w:ascii="Tahoma" w:hAnsi="Tahoma" w:cs="Tahoma"/>
      <w:sz w:val="16"/>
      <w:szCs w:val="16"/>
    </w:rPr>
  </w:style>
  <w:style w:type="character" w:customStyle="1" w:styleId="BalloonTextChar">
    <w:name w:val="Balloon Text Char"/>
    <w:basedOn w:val="DefaultParagraphFont"/>
    <w:link w:val="BalloonText"/>
    <w:uiPriority w:val="99"/>
    <w:semiHidden/>
    <w:rsid w:val="004F2B7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9759EA"/>
    <w:pPr>
      <w:spacing w:after="0" w:line="240" w:lineRule="auto"/>
    </w:pPr>
    <w:rPr>
      <w:rFonts w:ascii="Calibri" w:eastAsia="Times New Roman" w:hAnsi="Calibri"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9759EA"/>
    <w:pPr>
      <w:spacing w:after="113" w:line="240" w:lineRule="atLeast"/>
    </w:pPr>
    <w:rPr>
      <w:rFonts w:ascii="Calibri" w:eastAsia="Times New Roman" w:hAnsi="Calibri" w:cs="Arial"/>
      <w:szCs w:val="24"/>
    </w:rPr>
  </w:style>
  <w:style w:type="paragraph" w:customStyle="1" w:styleId="CertHBWhite">
    <w:name w:val="_CertHBWhite"/>
    <w:rsid w:val="009759EA"/>
    <w:pPr>
      <w:spacing w:after="0" w:line="720" w:lineRule="atLeast"/>
    </w:pPr>
    <w:rPr>
      <w:rFonts w:ascii="Calibri" w:eastAsia="Times New Roman" w:hAnsi="Calibri" w:cs="Arial"/>
      <w:color w:val="FFFFFF"/>
      <w:sz w:val="72"/>
      <w:szCs w:val="24"/>
    </w:rPr>
  </w:style>
  <w:style w:type="paragraph" w:customStyle="1" w:styleId="CertHDWhite">
    <w:name w:val="_CertHDWhite"/>
    <w:uiPriority w:val="3"/>
    <w:rsid w:val="009759EA"/>
    <w:pPr>
      <w:spacing w:after="0" w:line="440" w:lineRule="atLeast"/>
    </w:pPr>
    <w:rPr>
      <w:rFonts w:ascii="Calibri" w:eastAsia="Times New Roman" w:hAnsi="Calibri" w:cs="Arial"/>
      <w:color w:val="FFFFFF"/>
      <w:sz w:val="40"/>
      <w:szCs w:val="24"/>
    </w:rPr>
  </w:style>
  <w:style w:type="paragraph" w:customStyle="1" w:styleId="HA">
    <w:name w:val="_HA"/>
    <w:next w:val="Body"/>
    <w:uiPriority w:val="2"/>
    <w:qFormat/>
    <w:rsid w:val="009759EA"/>
    <w:pPr>
      <w:spacing w:after="600" w:line="460" w:lineRule="atLeast"/>
      <w:outlineLvl w:val="0"/>
    </w:pPr>
    <w:rPr>
      <w:rFonts w:ascii="Calibri" w:eastAsia="Times New Roman" w:hAnsi="Calibri" w:cs="Arial"/>
      <w:color w:val="228591"/>
      <w:sz w:val="40"/>
      <w:szCs w:val="24"/>
      <w:lang w:val="en-US"/>
    </w:rPr>
  </w:style>
  <w:style w:type="paragraph" w:customStyle="1" w:styleId="HC">
    <w:name w:val="_HC"/>
    <w:next w:val="Body"/>
    <w:uiPriority w:val="2"/>
    <w:qFormat/>
    <w:rsid w:val="009759EA"/>
    <w:pPr>
      <w:spacing w:before="140" w:after="57" w:line="220" w:lineRule="atLeast"/>
    </w:pPr>
    <w:rPr>
      <w:rFonts w:ascii="Calibri" w:eastAsia="Times New Roman" w:hAnsi="Calibri" w:cs="Arial"/>
      <w:b/>
      <w:sz w:val="24"/>
      <w:szCs w:val="24"/>
    </w:rPr>
  </w:style>
  <w:style w:type="paragraph" w:customStyle="1" w:styleId="Pullout">
    <w:name w:val="_Pullout"/>
    <w:qFormat/>
    <w:rsid w:val="009759EA"/>
    <w:pPr>
      <w:spacing w:before="85" w:after="170" w:line="300" w:lineRule="atLeast"/>
    </w:pPr>
    <w:rPr>
      <w:rFonts w:ascii="Calibri" w:eastAsia="Times New Roman" w:hAnsi="Calibri" w:cs="Arial"/>
      <w:color w:val="228591"/>
      <w:sz w:val="24"/>
      <w:szCs w:val="24"/>
    </w:rPr>
  </w:style>
  <w:style w:type="paragraph" w:styleId="Header">
    <w:name w:val="header"/>
    <w:basedOn w:val="Normal"/>
    <w:link w:val="HeaderChar"/>
    <w:semiHidden/>
    <w:rsid w:val="009759EA"/>
    <w:pPr>
      <w:tabs>
        <w:tab w:val="center" w:pos="4320"/>
        <w:tab w:val="right" w:pos="8640"/>
      </w:tabs>
    </w:pPr>
  </w:style>
  <w:style w:type="character" w:customStyle="1" w:styleId="HeaderChar">
    <w:name w:val="Header Char"/>
    <w:basedOn w:val="DefaultParagraphFont"/>
    <w:link w:val="Header"/>
    <w:semiHidden/>
    <w:rsid w:val="009759EA"/>
    <w:rPr>
      <w:rFonts w:ascii="Calibri" w:eastAsia="Times New Roman" w:hAnsi="Calibri" w:cs="Times New Roman"/>
      <w:szCs w:val="24"/>
    </w:rPr>
  </w:style>
  <w:style w:type="paragraph" w:styleId="Footer">
    <w:name w:val="footer"/>
    <w:basedOn w:val="Normal"/>
    <w:link w:val="FooterChar"/>
    <w:semiHidden/>
    <w:rsid w:val="009759EA"/>
    <w:pPr>
      <w:tabs>
        <w:tab w:val="center" w:pos="4320"/>
        <w:tab w:val="right" w:pos="8640"/>
      </w:tabs>
    </w:pPr>
  </w:style>
  <w:style w:type="character" w:customStyle="1" w:styleId="FooterChar">
    <w:name w:val="Footer Char"/>
    <w:basedOn w:val="DefaultParagraphFont"/>
    <w:link w:val="Footer"/>
    <w:semiHidden/>
    <w:rsid w:val="009759EA"/>
    <w:rPr>
      <w:rFonts w:ascii="Calibri" w:eastAsia="Times New Roman" w:hAnsi="Calibri" w:cs="Times New Roman"/>
      <w:szCs w:val="24"/>
    </w:rPr>
  </w:style>
  <w:style w:type="paragraph" w:customStyle="1" w:styleId="ImprintBreak">
    <w:name w:val="_ImprintBreak"/>
    <w:next w:val="Normal"/>
    <w:uiPriority w:val="9"/>
    <w:rsid w:val="009759EA"/>
    <w:pPr>
      <w:pBdr>
        <w:top w:val="dotted" w:sz="12" w:space="1" w:color="3BBEB4"/>
      </w:pBdr>
      <w:spacing w:after="0" w:line="240" w:lineRule="auto"/>
    </w:pPr>
    <w:rPr>
      <w:rFonts w:ascii="Calibri" w:eastAsia="Times New Roman" w:hAnsi="Calibri" w:cs="Arial"/>
      <w:sz w:val="8"/>
      <w:szCs w:val="8"/>
    </w:rPr>
  </w:style>
  <w:style w:type="paragraph" w:customStyle="1" w:styleId="ImprintText">
    <w:name w:val="_ImprintText"/>
    <w:uiPriority w:val="9"/>
    <w:rsid w:val="009759EA"/>
    <w:pPr>
      <w:spacing w:after="85" w:line="170" w:lineRule="atLeast"/>
    </w:pPr>
    <w:rPr>
      <w:rFonts w:ascii="Calibri" w:eastAsia="Times New Roman" w:hAnsi="Calibri" w:cs="Arial"/>
      <w:sz w:val="16"/>
      <w:szCs w:val="14"/>
    </w:rPr>
  </w:style>
  <w:style w:type="paragraph" w:customStyle="1" w:styleId="ImprintBreak2">
    <w:name w:val="_ImprintBreak2"/>
    <w:uiPriority w:val="9"/>
    <w:rsid w:val="009759EA"/>
    <w:pPr>
      <w:spacing w:after="0" w:line="240" w:lineRule="auto"/>
    </w:pPr>
    <w:rPr>
      <w:rFonts w:ascii="Calibri" w:eastAsia="Times New Roman" w:hAnsi="Calibri" w:cs="Arial"/>
      <w:sz w:val="8"/>
      <w:szCs w:val="8"/>
    </w:rPr>
  </w:style>
  <w:style w:type="character" w:customStyle="1" w:styleId="ReplyLetChar">
    <w:name w:val="ReplyLet Char"/>
    <w:link w:val="ReplyLet"/>
    <w:locked/>
    <w:rsid w:val="009759EA"/>
    <w:rPr>
      <w:sz w:val="23"/>
      <w:szCs w:val="24"/>
    </w:rPr>
  </w:style>
  <w:style w:type="paragraph" w:customStyle="1" w:styleId="ReplyLet">
    <w:name w:val="ReplyLet"/>
    <w:basedOn w:val="Normal"/>
    <w:link w:val="ReplyLetChar"/>
    <w:qFormat/>
    <w:rsid w:val="009759EA"/>
    <w:pPr>
      <w:jc w:val="both"/>
    </w:pPr>
    <w:rPr>
      <w:rFonts w:asciiTheme="minorHAnsi" w:eastAsiaTheme="minorHAnsi" w:hAnsiTheme="minorHAnsi" w:cstheme="minorBidi"/>
      <w:sz w:val="23"/>
    </w:rPr>
  </w:style>
  <w:style w:type="table" w:styleId="MediumShading1-Accent5">
    <w:name w:val="Medium Shading 1 Accent 5"/>
    <w:basedOn w:val="TableNormal"/>
    <w:uiPriority w:val="63"/>
    <w:rsid w:val="009759EA"/>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78C0D4" w:themeColor="accent5" w:themeTint="BF"/>
        <w:bottom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DPIBodytext">
    <w:name w:val="DPI Body text"/>
    <w:basedOn w:val="Normal"/>
    <w:qFormat/>
    <w:rsid w:val="009759EA"/>
    <w:pPr>
      <w:spacing w:before="120" w:line="260" w:lineRule="exact"/>
    </w:pPr>
    <w:rPr>
      <w:rFonts w:ascii="Times New Roman" w:hAnsi="Times New Roman"/>
      <w:sz w:val="23"/>
      <w:szCs w:val="20"/>
    </w:rPr>
  </w:style>
  <w:style w:type="paragraph" w:styleId="BalloonText">
    <w:name w:val="Balloon Text"/>
    <w:basedOn w:val="Normal"/>
    <w:link w:val="BalloonTextChar"/>
    <w:uiPriority w:val="99"/>
    <w:semiHidden/>
    <w:unhideWhenUsed/>
    <w:rsid w:val="004F2B71"/>
    <w:rPr>
      <w:rFonts w:ascii="Tahoma" w:hAnsi="Tahoma" w:cs="Tahoma"/>
      <w:sz w:val="16"/>
      <w:szCs w:val="16"/>
    </w:rPr>
  </w:style>
  <w:style w:type="character" w:customStyle="1" w:styleId="BalloonTextChar">
    <w:name w:val="Balloon Text Char"/>
    <w:basedOn w:val="DefaultParagraphFont"/>
    <w:link w:val="BalloonText"/>
    <w:uiPriority w:val="99"/>
    <w:semiHidden/>
    <w:rsid w:val="004F2B7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creativecommons.org/licenses/by/4.0/" TargetMode="External"/><Relationship Id="rId2" Type="http://schemas.openxmlformats.org/officeDocument/2006/relationships/image" Target="media/image4.png"/><Relationship Id="rId1" Type="http://schemas.openxmlformats.org/officeDocument/2006/relationships/image" Target="media/image3.emf"/></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Victorian Government</Company>
  <LinksUpToDate>false</LinksUpToDate>
  <CharactersWithSpaces>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Millett-Riley</dc:creator>
  <cp:lastModifiedBy>Jessica Fero</cp:lastModifiedBy>
  <cp:revision>2</cp:revision>
  <cp:lastPrinted>2016-04-07T23:34:00Z</cp:lastPrinted>
  <dcterms:created xsi:type="dcterms:W3CDTF">2016-07-29T06:41:00Z</dcterms:created>
  <dcterms:modified xsi:type="dcterms:W3CDTF">2016-07-29T06:41:00Z</dcterms:modified>
</cp:coreProperties>
</file>